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07D1" w14:textId="77777777" w:rsidR="006121CF" w:rsidRPr="006121CF" w:rsidRDefault="0058141C" w:rsidP="006121CF">
      <w:pPr>
        <w:pStyle w:val="MeetingTitle"/>
      </w:pPr>
      <w:r>
        <w:t xml:space="preserve">CASE STUDY: </w:t>
      </w:r>
      <w:r w:rsidR="006121CF" w:rsidRPr="006121CF">
        <w:t>online learning to modify attitudes towards GCSE</w:t>
      </w:r>
    </w:p>
    <w:p w14:paraId="53FF98F1" w14:textId="77777777" w:rsidR="006121CF" w:rsidRPr="006121CF" w:rsidRDefault="006121CF" w:rsidP="006121CF">
      <w:pPr>
        <w:pStyle w:val="MeetingTitle"/>
      </w:pPr>
      <w:r w:rsidRPr="006121CF">
        <w:t>English</w:t>
      </w:r>
      <w:r w:rsidR="004E4D9B">
        <w:t xml:space="preserve"> language</w:t>
      </w:r>
    </w:p>
    <w:p w14:paraId="0F9B425A" w14:textId="188C3EA6" w:rsidR="0058141C" w:rsidRDefault="0058141C" w:rsidP="00E75F0A">
      <w:pPr>
        <w:pStyle w:val="Textbody"/>
      </w:pPr>
    </w:p>
    <w:p w14:paraId="574C32BB" w14:textId="77777777" w:rsidR="007C2E68" w:rsidRDefault="007C2E68" w:rsidP="00E75F0A">
      <w:pPr>
        <w:pStyle w:val="Textbody"/>
      </w:pPr>
    </w:p>
    <w:p w14:paraId="524D2048" w14:textId="77777777" w:rsidR="00D432CB" w:rsidRDefault="00066283" w:rsidP="00E64809">
      <w:pPr>
        <w:pStyle w:val="Agenda"/>
        <w:rPr>
          <w:sz w:val="20"/>
          <w:szCs w:val="20"/>
        </w:rPr>
      </w:pPr>
      <w:r w:rsidRPr="00066283">
        <w:t>What was the purpose of the project?</w:t>
      </w:r>
    </w:p>
    <w:p w14:paraId="0C9B97FC" w14:textId="54C24981" w:rsidR="00683ED2" w:rsidRPr="00E64809" w:rsidRDefault="006121CF" w:rsidP="00E64809">
      <w:pPr>
        <w:pStyle w:val="Textbody"/>
      </w:pPr>
      <w:r w:rsidRPr="00E64809">
        <w:t xml:space="preserve">The </w:t>
      </w:r>
      <w:r w:rsidR="008248FE" w:rsidRPr="00E64809">
        <w:t>‘Online</w:t>
      </w:r>
      <w:r w:rsidR="00C95EC6" w:rsidRPr="00E64809">
        <w:t xml:space="preserve"> learning to modify attitudes towards GCSE English language’ O</w:t>
      </w:r>
      <w:r w:rsidR="005C42BF" w:rsidRPr="00E64809">
        <w:t xml:space="preserve">utstanding </w:t>
      </w:r>
      <w:r w:rsidR="00C95EC6" w:rsidRPr="00E64809">
        <w:t>T</w:t>
      </w:r>
      <w:r w:rsidR="005C42BF" w:rsidRPr="00E64809">
        <w:t xml:space="preserve">eaching, </w:t>
      </w:r>
      <w:r w:rsidR="00C95EC6" w:rsidRPr="00E64809">
        <w:t>L</w:t>
      </w:r>
      <w:r w:rsidR="005C42BF" w:rsidRPr="00E64809">
        <w:t xml:space="preserve">earning and </w:t>
      </w:r>
      <w:r w:rsidR="00C95EC6" w:rsidRPr="00E64809">
        <w:t>A</w:t>
      </w:r>
      <w:r w:rsidR="005C42BF" w:rsidRPr="00E64809">
        <w:t xml:space="preserve">ssessment </w:t>
      </w:r>
      <w:r w:rsidR="00C95EC6" w:rsidRPr="00E64809">
        <w:t xml:space="preserve">project was </w:t>
      </w:r>
      <w:r w:rsidR="005C42BF" w:rsidRPr="00E64809">
        <w:t xml:space="preserve">delivered between 2016 and 2017. It </w:t>
      </w:r>
      <w:r w:rsidR="00C95EC6" w:rsidRPr="00E64809">
        <w:t xml:space="preserve">a collaboration between Kingston </w:t>
      </w:r>
      <w:proofErr w:type="spellStart"/>
      <w:r w:rsidR="00C95EC6" w:rsidRPr="00E64809">
        <w:t>Maurward</w:t>
      </w:r>
      <w:proofErr w:type="spellEnd"/>
      <w:r w:rsidR="00C95EC6" w:rsidRPr="00E64809">
        <w:t xml:space="preserve"> College </w:t>
      </w:r>
      <w:r w:rsidR="00671A68" w:rsidRPr="00E64809">
        <w:t xml:space="preserve">(KMC) </w:t>
      </w:r>
      <w:r w:rsidR="00C95EC6" w:rsidRPr="00E64809">
        <w:t>with Bournemouth and Poole College</w:t>
      </w:r>
      <w:r w:rsidR="00671A68" w:rsidRPr="00E64809">
        <w:t xml:space="preserve"> (BPC)</w:t>
      </w:r>
      <w:r w:rsidR="00C95EC6" w:rsidRPr="00E64809">
        <w:t xml:space="preserve">. </w:t>
      </w:r>
    </w:p>
    <w:p w14:paraId="666130FB" w14:textId="77777777" w:rsidR="00683ED2" w:rsidRPr="00E64809" w:rsidRDefault="00683ED2" w:rsidP="00E64809">
      <w:pPr>
        <w:pStyle w:val="Textbody"/>
      </w:pPr>
    </w:p>
    <w:p w14:paraId="73DC3CB9" w14:textId="32BC6F0C" w:rsidR="00DC0A1F" w:rsidRPr="00E64809" w:rsidRDefault="00683ED2" w:rsidP="00E64809">
      <w:pPr>
        <w:pStyle w:val="Textbody"/>
      </w:pPr>
      <w:r w:rsidRPr="00E64809">
        <w:t>The partners</w:t>
      </w:r>
      <w:r w:rsidR="006121CF" w:rsidRPr="00E64809">
        <w:t xml:space="preserve"> felt that many learners </w:t>
      </w:r>
      <w:r w:rsidR="004E4D9B" w:rsidRPr="00E64809">
        <w:t xml:space="preserve">retaking exams </w:t>
      </w:r>
      <w:r w:rsidR="006121CF" w:rsidRPr="00E64809">
        <w:t xml:space="preserve">did not see GCSE English </w:t>
      </w:r>
      <w:r w:rsidR="00C4224F" w:rsidRPr="00E64809">
        <w:t>l</w:t>
      </w:r>
      <w:r w:rsidR="004E4D9B" w:rsidRPr="00E64809">
        <w:t xml:space="preserve">anguage </w:t>
      </w:r>
      <w:r w:rsidRPr="00E64809">
        <w:t xml:space="preserve">topics </w:t>
      </w:r>
      <w:r w:rsidR="00D64104" w:rsidRPr="00E64809">
        <w:t>as having real world value</w:t>
      </w:r>
      <w:r w:rsidRPr="00E64809">
        <w:t xml:space="preserve"> and</w:t>
      </w:r>
      <w:r w:rsidR="00FA03E6" w:rsidRPr="00E64809">
        <w:t xml:space="preserve"> </w:t>
      </w:r>
      <w:r w:rsidRPr="00E64809">
        <w:t xml:space="preserve">did not </w:t>
      </w:r>
      <w:r w:rsidR="004E4D9B" w:rsidRPr="00E64809">
        <w:t>fully</w:t>
      </w:r>
      <w:r w:rsidR="006121CF" w:rsidRPr="00E64809">
        <w:t xml:space="preserve"> appreciate the opportunitie</w:t>
      </w:r>
      <w:r w:rsidRPr="00E64809">
        <w:t>s</w:t>
      </w:r>
      <w:r w:rsidR="006121CF" w:rsidRPr="00E64809">
        <w:t xml:space="preserve"> a good grade </w:t>
      </w:r>
      <w:r w:rsidR="004E4D9B" w:rsidRPr="00E64809">
        <w:t>could</w:t>
      </w:r>
      <w:r w:rsidRPr="00E64809">
        <w:t xml:space="preserve"> offer to</w:t>
      </w:r>
      <w:r w:rsidR="006121CF" w:rsidRPr="00E64809">
        <w:t xml:space="preserve"> career development</w:t>
      </w:r>
      <w:r w:rsidR="005C122B" w:rsidRPr="00E64809">
        <w:t xml:space="preserve">. </w:t>
      </w:r>
      <w:r w:rsidR="00D64104" w:rsidRPr="00E64809">
        <w:t>The</w:t>
      </w:r>
      <w:r w:rsidR="0066456F" w:rsidRPr="00E64809">
        <w:t>y</w:t>
      </w:r>
      <w:r w:rsidR="00FA03E6" w:rsidRPr="00E64809">
        <w:t xml:space="preserve"> decided</w:t>
      </w:r>
      <w:r w:rsidR="005C122B" w:rsidRPr="00E64809">
        <w:t xml:space="preserve"> </w:t>
      </w:r>
      <w:r w:rsidR="00FA03E6" w:rsidRPr="00E64809">
        <w:t xml:space="preserve">to explore </w:t>
      </w:r>
      <w:r w:rsidR="0066456F" w:rsidRPr="00E64809">
        <w:t>the</w:t>
      </w:r>
      <w:r w:rsidR="00FA03E6" w:rsidRPr="00E64809">
        <w:t xml:space="preserve"> extent </w:t>
      </w:r>
      <w:r w:rsidR="0066456F" w:rsidRPr="00E64809">
        <w:t xml:space="preserve">to which </w:t>
      </w:r>
      <w:r w:rsidR="00FA03E6" w:rsidRPr="00E64809">
        <w:t xml:space="preserve">online learning could positively modify </w:t>
      </w:r>
      <w:r w:rsidR="0066456F" w:rsidRPr="00E64809">
        <w:t>students’</w:t>
      </w:r>
      <w:r w:rsidR="00FA03E6" w:rsidRPr="00E64809">
        <w:t xml:space="preserve"> attitudes </w:t>
      </w:r>
      <w:r w:rsidR="0066456F" w:rsidRPr="00E64809">
        <w:t>to</w:t>
      </w:r>
      <w:r w:rsidR="00FA03E6" w:rsidRPr="00E64809">
        <w:t xml:space="preserve"> retaking GCSE English Language, thereby improving motivation, attendance and</w:t>
      </w:r>
      <w:r w:rsidR="009957F7" w:rsidRPr="00E64809">
        <w:t>,</w:t>
      </w:r>
      <w:r w:rsidR="00FA03E6" w:rsidRPr="00E64809">
        <w:t xml:space="preserve"> ultimately, grades.</w:t>
      </w:r>
    </w:p>
    <w:p w14:paraId="01FCE665" w14:textId="77777777" w:rsidR="00E64809" w:rsidRDefault="00E64809" w:rsidP="00A2663E">
      <w:pPr>
        <w:pStyle w:val="Textbody"/>
        <w:spacing w:line="240" w:lineRule="auto"/>
      </w:pPr>
    </w:p>
    <w:p w14:paraId="598C13C5" w14:textId="77777777" w:rsidR="00C80B9C" w:rsidRDefault="00066283" w:rsidP="00E64809">
      <w:pPr>
        <w:pStyle w:val="Agenda"/>
      </w:pPr>
      <w:r w:rsidRPr="00066283">
        <w:t>What did the project do?</w:t>
      </w:r>
    </w:p>
    <w:p w14:paraId="293839FB" w14:textId="4AC652DB" w:rsidR="004E4D9B" w:rsidRPr="00E64809" w:rsidRDefault="002A31FB" w:rsidP="00E64809">
      <w:pPr>
        <w:pStyle w:val="Textbody"/>
      </w:pPr>
      <w:r w:rsidRPr="00E64809">
        <w:t>The project c</w:t>
      </w:r>
      <w:r w:rsidR="001378D5" w:rsidRPr="00E64809">
        <w:t>reat</w:t>
      </w:r>
      <w:r w:rsidRPr="00E64809">
        <w:t>ed</w:t>
      </w:r>
      <w:r w:rsidR="001378D5" w:rsidRPr="00E64809">
        <w:t xml:space="preserve"> an online learning course for </w:t>
      </w:r>
      <w:r w:rsidR="00FA03E6" w:rsidRPr="00E64809">
        <w:t>those achieving a G</w:t>
      </w:r>
      <w:r w:rsidR="001378D5" w:rsidRPr="00E64809">
        <w:t xml:space="preserve">rade </w:t>
      </w:r>
      <w:r w:rsidR="005C122B" w:rsidRPr="00E64809">
        <w:t xml:space="preserve">4 </w:t>
      </w:r>
      <w:r w:rsidR="001378D5" w:rsidRPr="00E64809">
        <w:t>or above, covering</w:t>
      </w:r>
      <w:r w:rsidR="00FA03E6" w:rsidRPr="00E64809">
        <w:t>:</w:t>
      </w:r>
      <w:r w:rsidR="001378D5" w:rsidRPr="00E64809">
        <w:t xml:space="preserve"> </w:t>
      </w:r>
      <w:r w:rsidR="00B91DFB" w:rsidRPr="00E64809">
        <w:t>‘</w:t>
      </w:r>
      <w:r w:rsidR="001378D5" w:rsidRPr="00E64809">
        <w:t>Learning is Earning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>Developing Communication Skills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>English Skills for Progression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>Avoiding Common Errors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>Writing a CV</w:t>
      </w:r>
      <w:r w:rsidR="00B91DFB" w:rsidRPr="00E64809">
        <w:t>’</w:t>
      </w:r>
      <w:r w:rsidR="001378D5" w:rsidRPr="00E64809">
        <w:t xml:space="preserve"> and Applying for Jobs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 xml:space="preserve">Why English </w:t>
      </w:r>
      <w:r w:rsidR="001378D5" w:rsidRPr="00E64809">
        <w:lastRenderedPageBreak/>
        <w:t>Matters</w:t>
      </w:r>
      <w:r w:rsidR="00B91DFB" w:rsidRPr="00E64809">
        <w:t>’</w:t>
      </w:r>
      <w:r w:rsidR="001378D5" w:rsidRPr="00E64809">
        <w:t xml:space="preserve">, </w:t>
      </w:r>
      <w:r w:rsidR="00B91DFB" w:rsidRPr="00E64809">
        <w:t>‘</w:t>
      </w:r>
      <w:r w:rsidR="001378D5" w:rsidRPr="00E64809">
        <w:t>English for Studying</w:t>
      </w:r>
      <w:r w:rsidR="00B91DFB" w:rsidRPr="00E64809">
        <w:t>’</w:t>
      </w:r>
      <w:r w:rsidR="001378D5" w:rsidRPr="00E64809">
        <w:t xml:space="preserve">, and </w:t>
      </w:r>
      <w:r w:rsidR="00B91DFB" w:rsidRPr="00E64809">
        <w:t>‘</w:t>
      </w:r>
      <w:r w:rsidR="001378D5" w:rsidRPr="00E64809">
        <w:t>Course Summary</w:t>
      </w:r>
      <w:r w:rsidR="00B91DFB" w:rsidRPr="00E64809">
        <w:t>’</w:t>
      </w:r>
      <w:r w:rsidR="001378D5" w:rsidRPr="00E64809">
        <w:t xml:space="preserve">. </w:t>
      </w:r>
      <w:r w:rsidR="008B4B8D" w:rsidRPr="00E64809">
        <w:t>L</w:t>
      </w:r>
      <w:r w:rsidR="004E4D9B" w:rsidRPr="00E64809">
        <w:t>essons were packaged</w:t>
      </w:r>
      <w:r w:rsidR="008B4B8D" w:rsidRPr="00E64809">
        <w:t xml:space="preserve"> using </w:t>
      </w:r>
      <w:r w:rsidR="00B91DFB" w:rsidRPr="00E64809">
        <w:t>P</w:t>
      </w:r>
      <w:r w:rsidR="008B4B8D" w:rsidRPr="00E64809">
        <w:t>adlet</w:t>
      </w:r>
      <w:r w:rsidR="004E4D9B" w:rsidRPr="00E64809">
        <w:t xml:space="preserve"> and uploaded onto each </w:t>
      </w:r>
      <w:r w:rsidR="005F2A64" w:rsidRPr="00E64809">
        <w:t>C</w:t>
      </w:r>
      <w:r w:rsidR="004E4D9B" w:rsidRPr="00E64809">
        <w:t xml:space="preserve">ollege’s </w:t>
      </w:r>
      <w:r w:rsidR="005F2A64" w:rsidRPr="00E64809">
        <w:t xml:space="preserve">Virtual Learning Environment </w:t>
      </w:r>
      <w:r w:rsidR="004E4D9B" w:rsidRPr="00E64809">
        <w:t xml:space="preserve">for students to </w:t>
      </w:r>
      <w:r w:rsidR="005C122B" w:rsidRPr="00E64809">
        <w:t>use</w:t>
      </w:r>
      <w:r w:rsidR="004E4D9B" w:rsidRPr="00E64809">
        <w:t xml:space="preserve"> during their curriculum area t</w:t>
      </w:r>
      <w:r w:rsidR="008B4B8D" w:rsidRPr="00E64809">
        <w:t xml:space="preserve">utorials over a </w:t>
      </w:r>
      <w:r w:rsidR="000266CC" w:rsidRPr="00E64809">
        <w:t>six</w:t>
      </w:r>
      <w:r w:rsidR="007C77B7" w:rsidRPr="00E64809">
        <w:t>-</w:t>
      </w:r>
      <w:r w:rsidR="008B4B8D" w:rsidRPr="00E64809">
        <w:t>week period</w:t>
      </w:r>
      <w:r w:rsidR="00B91DFB" w:rsidRPr="00E64809">
        <w:t>.</w:t>
      </w:r>
    </w:p>
    <w:p w14:paraId="6D15226E" w14:textId="666C8A80" w:rsidR="002D43D2" w:rsidRPr="00E64809" w:rsidRDefault="002D43D2" w:rsidP="00E64809">
      <w:pPr>
        <w:pStyle w:val="Textbody"/>
      </w:pPr>
    </w:p>
    <w:p w14:paraId="6CCB6D81" w14:textId="11678024" w:rsidR="00E22C7B" w:rsidRDefault="00066283" w:rsidP="00E64809">
      <w:pPr>
        <w:pStyle w:val="Agenda"/>
      </w:pPr>
      <w:r w:rsidRPr="00066283">
        <w:t>What helped the project succeed?</w:t>
      </w:r>
      <w:r>
        <w:t xml:space="preserve"> </w:t>
      </w:r>
    </w:p>
    <w:p w14:paraId="5334CE4C" w14:textId="683CC506" w:rsidR="00C12ADC" w:rsidRPr="00E64809" w:rsidRDefault="001378D5" w:rsidP="00E64809">
      <w:pPr>
        <w:pStyle w:val="Textbody"/>
      </w:pPr>
      <w:r w:rsidRPr="0099316E">
        <w:t xml:space="preserve">Effective collaborative working between the </w:t>
      </w:r>
      <w:r w:rsidR="00C03FBA">
        <w:t>C</w:t>
      </w:r>
      <w:r w:rsidRPr="0099316E">
        <w:t xml:space="preserve">olleges </w:t>
      </w:r>
      <w:r w:rsidR="00326244" w:rsidRPr="0099316E">
        <w:t xml:space="preserve">was very </w:t>
      </w:r>
      <w:r w:rsidR="00326244" w:rsidRPr="00E64809">
        <w:t>important, especially in</w:t>
      </w:r>
      <w:r w:rsidRPr="00E64809">
        <w:t xml:space="preserve"> </w:t>
      </w:r>
      <w:r w:rsidR="00D64407" w:rsidRPr="00E64809">
        <w:t xml:space="preserve">its </w:t>
      </w:r>
      <w:r w:rsidRPr="00E64809">
        <w:t>contributi</w:t>
      </w:r>
      <w:r w:rsidR="00D64407" w:rsidRPr="00E64809">
        <w:t xml:space="preserve">on to </w:t>
      </w:r>
      <w:r w:rsidRPr="00E64809">
        <w:t>the design and development for the online learning material</w:t>
      </w:r>
      <w:r w:rsidR="00326244" w:rsidRPr="00E64809">
        <w:t>.</w:t>
      </w:r>
      <w:r w:rsidRPr="00E64809">
        <w:t xml:space="preserve"> </w:t>
      </w:r>
      <w:r w:rsidR="00326244" w:rsidRPr="00E64809">
        <w:t>Pre- and post-course surveys were also</w:t>
      </w:r>
      <w:r w:rsidRPr="00E64809">
        <w:t xml:space="preserve"> crucial to the success of the project.</w:t>
      </w:r>
    </w:p>
    <w:p w14:paraId="6A44F276" w14:textId="7F814D46" w:rsidR="0099316E" w:rsidRPr="00E64809" w:rsidRDefault="0099316E" w:rsidP="00E64809">
      <w:pPr>
        <w:pStyle w:val="Textbody"/>
      </w:pPr>
    </w:p>
    <w:p w14:paraId="2BDB0AC2" w14:textId="77777777" w:rsidR="002A1687" w:rsidRDefault="00066283" w:rsidP="00E64809">
      <w:pPr>
        <w:pStyle w:val="Agenda"/>
      </w:pPr>
      <w:r>
        <w:t>what challenges did the project face?</w:t>
      </w:r>
      <w:r w:rsidRPr="00066283">
        <w:t xml:space="preserve"> </w:t>
      </w:r>
    </w:p>
    <w:p w14:paraId="331A1244" w14:textId="114E1C20" w:rsidR="000C25E6" w:rsidRPr="00E64809" w:rsidRDefault="000C25E6" w:rsidP="00E64809">
      <w:pPr>
        <w:pStyle w:val="Textbody"/>
      </w:pPr>
      <w:r w:rsidRPr="00E64809">
        <w:t>C</w:t>
      </w:r>
      <w:r w:rsidR="002D43D2" w:rsidRPr="00E64809">
        <w:t>ourse leaders</w:t>
      </w:r>
      <w:r w:rsidRPr="00E64809">
        <w:t>’ limited time</w:t>
      </w:r>
      <w:r w:rsidR="002D43D2" w:rsidRPr="00E64809">
        <w:t xml:space="preserve"> to devote to the project </w:t>
      </w:r>
      <w:r w:rsidR="008B4B8D" w:rsidRPr="00E64809">
        <w:t>was an</w:t>
      </w:r>
      <w:r w:rsidR="002D43D2" w:rsidRPr="00E64809">
        <w:t xml:space="preserve"> </w:t>
      </w:r>
      <w:r w:rsidRPr="00E64809">
        <w:t>(</w:t>
      </w:r>
      <w:r w:rsidR="002D43D2" w:rsidRPr="00E64809">
        <w:t>expected</w:t>
      </w:r>
      <w:r w:rsidRPr="00E64809">
        <w:t>)</w:t>
      </w:r>
      <w:r w:rsidR="002D43D2" w:rsidRPr="00E64809">
        <w:t xml:space="preserve"> issue.  </w:t>
      </w:r>
    </w:p>
    <w:p w14:paraId="0D388374" w14:textId="01968A06" w:rsidR="007E10B9" w:rsidRDefault="000C25E6" w:rsidP="00E64809">
      <w:pPr>
        <w:pStyle w:val="Textbody"/>
      </w:pPr>
      <w:r w:rsidRPr="00E64809">
        <w:t>Not</w:t>
      </w:r>
      <w:r w:rsidR="008B4B8D" w:rsidRPr="00E64809">
        <w:t xml:space="preserve"> all </w:t>
      </w:r>
      <w:r w:rsidR="002D43D2" w:rsidRPr="00E64809">
        <w:t>vo</w:t>
      </w:r>
      <w:r w:rsidR="00326244" w:rsidRPr="00E64809">
        <w:t>cational areas contributed</w:t>
      </w:r>
      <w:r w:rsidRPr="00E64809">
        <w:t xml:space="preserve"> the same number of</w:t>
      </w:r>
      <w:r w:rsidR="008B4B8D" w:rsidRPr="00E64809">
        <w:t xml:space="preserve"> resources</w:t>
      </w:r>
      <w:r w:rsidRPr="00E64809">
        <w:t xml:space="preserve"> </w:t>
      </w:r>
      <w:r w:rsidR="00326244" w:rsidRPr="00E64809">
        <w:t>or dedicated as much</w:t>
      </w:r>
      <w:r w:rsidR="008B4B8D" w:rsidRPr="00E64809">
        <w:t xml:space="preserve"> time to the project</w:t>
      </w:r>
      <w:r w:rsidRPr="00E64809">
        <w:t>. This</w:t>
      </w:r>
      <w:r w:rsidR="00326244" w:rsidRPr="00E64809">
        <w:t xml:space="preserve"> </w:t>
      </w:r>
      <w:r w:rsidR="002D43D2" w:rsidRPr="00E64809">
        <w:t>reduced the number of learner participants</w:t>
      </w:r>
      <w:r w:rsidR="008B4B8D" w:rsidRPr="00E64809">
        <w:t xml:space="preserve">. </w:t>
      </w:r>
    </w:p>
    <w:p w14:paraId="0739C83F" w14:textId="77777777" w:rsidR="00E64809" w:rsidRPr="00E64809" w:rsidRDefault="00E64809" w:rsidP="00E64809">
      <w:pPr>
        <w:pStyle w:val="Textbody"/>
      </w:pPr>
    </w:p>
    <w:p w14:paraId="45DB1D53" w14:textId="77777777" w:rsidR="00490F0E" w:rsidRDefault="00066283" w:rsidP="00E64809">
      <w:pPr>
        <w:pStyle w:val="Agenda"/>
      </w:pPr>
      <w:r>
        <w:t xml:space="preserve">what difference did the project make? </w:t>
      </w:r>
    </w:p>
    <w:p w14:paraId="331A8937" w14:textId="32C6DFB8" w:rsidR="00326244" w:rsidRPr="00E64809" w:rsidRDefault="008B4B8D" w:rsidP="00E64809">
      <w:pPr>
        <w:pStyle w:val="Textbody"/>
      </w:pPr>
      <w:r w:rsidRPr="0099316E">
        <w:t xml:space="preserve">100% of participating students found the online course easy to </w:t>
      </w:r>
      <w:r w:rsidRPr="00E64809">
        <w:t>ac</w:t>
      </w:r>
      <w:r w:rsidR="00326244" w:rsidRPr="00E64809">
        <w:t>cess and straightforward to use, with</w:t>
      </w:r>
      <w:r w:rsidRPr="00E64809">
        <w:t xml:space="preserve"> 96% f</w:t>
      </w:r>
      <w:r w:rsidR="00326244" w:rsidRPr="00E64809">
        <w:t>inding</w:t>
      </w:r>
      <w:r w:rsidRPr="00E64809">
        <w:t xml:space="preserve"> it interesting and useful.  </w:t>
      </w:r>
    </w:p>
    <w:p w14:paraId="3EA92293" w14:textId="1C4F43E4" w:rsidR="00BE5E4D" w:rsidRDefault="00BE5E4D" w:rsidP="00E64809">
      <w:pPr>
        <w:pStyle w:val="Textbody"/>
      </w:pPr>
      <w:r w:rsidRPr="00E64809">
        <w:t xml:space="preserve">96% (from 89%) of respondents now say that improving their English </w:t>
      </w:r>
      <w:r w:rsidR="00A663E1" w:rsidRPr="00E64809">
        <w:t xml:space="preserve">language </w:t>
      </w:r>
      <w:r w:rsidRPr="00E64809">
        <w:t>is an important personal goal for them</w:t>
      </w:r>
      <w:r w:rsidR="00A663E1" w:rsidRPr="00E64809">
        <w:t>.</w:t>
      </w:r>
      <w:r w:rsidRPr="00E64809">
        <w:t xml:space="preserve"> </w:t>
      </w:r>
    </w:p>
    <w:p w14:paraId="27EC40D8" w14:textId="77777777" w:rsidR="00E64809" w:rsidRPr="00E64809" w:rsidRDefault="00E64809" w:rsidP="00E64809">
      <w:pPr>
        <w:pStyle w:val="Textbody"/>
      </w:pPr>
    </w:p>
    <w:p w14:paraId="77910D19" w14:textId="462634F1" w:rsidR="00BE5E4D" w:rsidRPr="00E64809" w:rsidRDefault="00BE5E4D" w:rsidP="00E64809">
      <w:pPr>
        <w:pStyle w:val="Textbody"/>
      </w:pPr>
      <w:r w:rsidRPr="00E64809">
        <w:t xml:space="preserve">92% (from 78%) now have a good understanding of why having good English </w:t>
      </w:r>
      <w:r w:rsidR="00A663E1" w:rsidRPr="00E64809">
        <w:t xml:space="preserve">language </w:t>
      </w:r>
      <w:r w:rsidRPr="00E64809">
        <w:t>skills is important for their future career</w:t>
      </w:r>
      <w:r w:rsidR="00A663E1" w:rsidRPr="00E64809">
        <w:t>.</w:t>
      </w:r>
    </w:p>
    <w:p w14:paraId="164E68A6" w14:textId="2D806F18" w:rsidR="004034F1" w:rsidRDefault="00872F4E" w:rsidP="00E64809">
      <w:pPr>
        <w:pStyle w:val="Textbody"/>
      </w:pPr>
      <w:r w:rsidRPr="00E64809">
        <w:t>Although r</w:t>
      </w:r>
      <w:r w:rsidR="002217F6" w:rsidRPr="00E64809">
        <w:t xml:space="preserve">etention and attendance </w:t>
      </w:r>
      <w:r w:rsidR="003D37B9" w:rsidRPr="00E64809">
        <w:t>did not</w:t>
      </w:r>
      <w:r w:rsidR="002217F6" w:rsidRPr="00E64809">
        <w:t xml:space="preserve"> improv</w:t>
      </w:r>
      <w:r w:rsidR="003D37B9" w:rsidRPr="00E64809">
        <w:t>e</w:t>
      </w:r>
      <w:r w:rsidR="002217F6" w:rsidRPr="00E64809">
        <w:t xml:space="preserve"> between the two years, achievement </w:t>
      </w:r>
      <w:r w:rsidR="009B4072" w:rsidRPr="00E64809">
        <w:t>rose</w:t>
      </w:r>
      <w:r w:rsidR="002217F6" w:rsidRPr="00E64809">
        <w:t xml:space="preserve"> in both KMC and BPC by 12% and 7%</w:t>
      </w:r>
      <w:r w:rsidR="004034F1" w:rsidRPr="00E64809">
        <w:t>,</w:t>
      </w:r>
      <w:r w:rsidR="002217F6" w:rsidRPr="00E64809">
        <w:t xml:space="preserve"> respectively. </w:t>
      </w:r>
    </w:p>
    <w:p w14:paraId="3332B047" w14:textId="4DC024C6" w:rsidR="00E64809" w:rsidRDefault="00E64809">
      <w:pPr>
        <w:spacing w:after="0" w:line="240" w:lineRule="auto"/>
        <w:rPr>
          <w:sz w:val="24"/>
          <w:szCs w:val="28"/>
        </w:rPr>
      </w:pPr>
      <w:r>
        <w:br w:type="page"/>
      </w:r>
    </w:p>
    <w:p w14:paraId="758AFE9E" w14:textId="74702923" w:rsidR="00E64809" w:rsidRDefault="004034F1" w:rsidP="00E64809">
      <w:pPr>
        <w:pStyle w:val="Textbody"/>
      </w:pPr>
      <w:r w:rsidRPr="00E64809">
        <w:lastRenderedPageBreak/>
        <w:t>The p</w:t>
      </w:r>
      <w:r w:rsidR="002217F6" w:rsidRPr="00E64809">
        <w:t>ass rate increase</w:t>
      </w:r>
      <w:r w:rsidRPr="00E64809">
        <w:t>d</w:t>
      </w:r>
      <w:r w:rsidR="002217F6" w:rsidRPr="00E64809">
        <w:t xml:space="preserve"> by 5% for KMC </w:t>
      </w:r>
      <w:r w:rsidRPr="00E64809">
        <w:t>but there was</w:t>
      </w:r>
      <w:r w:rsidR="002217F6" w:rsidRPr="00E64809">
        <w:t xml:space="preserve"> no major difference from BPC students (</w:t>
      </w:r>
      <w:r w:rsidR="00A663E1" w:rsidRPr="00E64809">
        <w:t>s</w:t>
      </w:r>
      <w:r w:rsidR="002217F6" w:rsidRPr="00E64809">
        <w:t>ee table below)</w:t>
      </w:r>
      <w:r w:rsidR="00E64809">
        <w:t>.</w:t>
      </w:r>
    </w:p>
    <w:p w14:paraId="0DE70F64" w14:textId="7446238D" w:rsidR="00E64809" w:rsidRDefault="00E64809" w:rsidP="00E64809">
      <w:pPr>
        <w:pStyle w:val="Textbody"/>
      </w:pPr>
    </w:p>
    <w:p w14:paraId="41CEC937" w14:textId="77777777" w:rsidR="00E64809" w:rsidRPr="00E64809" w:rsidRDefault="00E64809" w:rsidP="00E64809">
      <w:pPr>
        <w:pStyle w:val="Text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911"/>
        <w:gridCol w:w="1911"/>
        <w:gridCol w:w="1911"/>
      </w:tblGrid>
      <w:tr w:rsidR="00E64809" w14:paraId="33D6CDED" w14:textId="77777777" w:rsidTr="00E64809"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BE448" w14:textId="37D1BE1F" w:rsidR="00E64809" w:rsidRDefault="00E64809" w:rsidP="00E64809">
            <w:pPr>
              <w:pStyle w:val="Textbody"/>
            </w:pPr>
            <w:r w:rsidRPr="00E64809">
              <w:t>Criteria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19AFC" w14:textId="2D356A7D" w:rsidR="00E64809" w:rsidRDefault="00E64809" w:rsidP="00E64809">
            <w:pPr>
              <w:pStyle w:val="Textbody"/>
            </w:pPr>
            <w:r w:rsidRPr="0050780C">
              <w:t>Institution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3A711" w14:textId="75431932" w:rsidR="00E64809" w:rsidRDefault="00E64809" w:rsidP="00E64809">
            <w:pPr>
              <w:pStyle w:val="Textbody"/>
            </w:pPr>
            <w:r w:rsidRPr="0050780C">
              <w:t>15/16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CF1D8" w14:textId="2A2A8090" w:rsidR="00E64809" w:rsidRDefault="00E64809" w:rsidP="00E64809">
            <w:pPr>
              <w:pStyle w:val="Textbody"/>
            </w:pPr>
            <w:r w:rsidRPr="0050780C">
              <w:t>16/17</w:t>
            </w:r>
          </w:p>
        </w:tc>
      </w:tr>
      <w:tr w:rsidR="00E64809" w14:paraId="44B8B188" w14:textId="77777777" w:rsidTr="00E64809"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6CA7F" w14:textId="70C9D14E" w:rsidR="00E64809" w:rsidRDefault="00E64809" w:rsidP="00E64809">
            <w:pPr>
              <w:pStyle w:val="Textbody"/>
            </w:pPr>
            <w:r w:rsidRPr="00E64809">
              <w:t>Retention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</w:tcBorders>
          </w:tcPr>
          <w:p w14:paraId="63B35C53" w14:textId="7C044E34" w:rsidR="00E64809" w:rsidRDefault="00E64809" w:rsidP="00E64809">
            <w:pPr>
              <w:pStyle w:val="Textbody"/>
            </w:pPr>
            <w:r w:rsidRPr="002A18B2">
              <w:t>KMC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72E9D575" w14:textId="4C3915DA" w:rsidR="00E64809" w:rsidRDefault="00E64809" w:rsidP="00E64809">
            <w:pPr>
              <w:pStyle w:val="Textbody"/>
            </w:pPr>
            <w:r w:rsidRPr="002A18B2">
              <w:t>89%</w:t>
            </w:r>
          </w:p>
        </w:tc>
        <w:tc>
          <w:tcPr>
            <w:tcW w:w="1911" w:type="dxa"/>
            <w:tcBorders>
              <w:top w:val="single" w:sz="4" w:space="0" w:color="auto"/>
              <w:right w:val="nil"/>
            </w:tcBorders>
          </w:tcPr>
          <w:p w14:paraId="0FAEECA2" w14:textId="45083ADD" w:rsidR="00E64809" w:rsidRDefault="00E64809" w:rsidP="00E64809">
            <w:pPr>
              <w:pStyle w:val="Textbody"/>
            </w:pPr>
            <w:r w:rsidRPr="002A18B2">
              <w:t>87%</w:t>
            </w:r>
          </w:p>
        </w:tc>
      </w:tr>
      <w:tr w:rsidR="00E64809" w14:paraId="381020A6" w14:textId="77777777" w:rsidTr="00E64809"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8E76" w14:textId="77777777" w:rsidR="00E64809" w:rsidRDefault="00E64809" w:rsidP="00E64809">
            <w:pPr>
              <w:pStyle w:val="Textbody"/>
            </w:pPr>
          </w:p>
        </w:tc>
        <w:tc>
          <w:tcPr>
            <w:tcW w:w="1911" w:type="dxa"/>
            <w:tcBorders>
              <w:left w:val="nil"/>
            </w:tcBorders>
          </w:tcPr>
          <w:p w14:paraId="44893FD3" w14:textId="4C48E5F1" w:rsidR="00E64809" w:rsidRDefault="00E64809" w:rsidP="00E64809">
            <w:pPr>
              <w:pStyle w:val="Textbody"/>
            </w:pPr>
            <w:r w:rsidRPr="0047192D">
              <w:t>BPC</w:t>
            </w:r>
          </w:p>
        </w:tc>
        <w:tc>
          <w:tcPr>
            <w:tcW w:w="1911" w:type="dxa"/>
          </w:tcPr>
          <w:p w14:paraId="60625E56" w14:textId="23AA2459" w:rsidR="00E64809" w:rsidRDefault="00E64809" w:rsidP="00E64809">
            <w:pPr>
              <w:pStyle w:val="Textbody"/>
            </w:pPr>
            <w:r w:rsidRPr="0047192D">
              <w:t>93%</w:t>
            </w:r>
          </w:p>
        </w:tc>
        <w:tc>
          <w:tcPr>
            <w:tcW w:w="1911" w:type="dxa"/>
            <w:tcBorders>
              <w:right w:val="nil"/>
            </w:tcBorders>
          </w:tcPr>
          <w:p w14:paraId="38C9FD88" w14:textId="51411CFC" w:rsidR="00E64809" w:rsidRDefault="00E64809" w:rsidP="00E64809">
            <w:pPr>
              <w:pStyle w:val="Textbody"/>
            </w:pPr>
            <w:r w:rsidRPr="0047192D">
              <w:t>93%</w:t>
            </w:r>
          </w:p>
        </w:tc>
      </w:tr>
      <w:tr w:rsidR="00E64809" w14:paraId="2D913BD2" w14:textId="77777777" w:rsidTr="00E64809"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5CC4" w14:textId="693AC6D4" w:rsidR="00E64809" w:rsidRDefault="00E64809" w:rsidP="00E64809">
            <w:pPr>
              <w:pStyle w:val="Textbody"/>
            </w:pPr>
            <w:r w:rsidRPr="00E64809">
              <w:t>Attendance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10AA96" w14:textId="4134C1AF" w:rsidR="00E64809" w:rsidRDefault="00E64809" w:rsidP="00E64809">
            <w:pPr>
              <w:pStyle w:val="Textbody"/>
            </w:pPr>
            <w:r w:rsidRPr="0099316E">
              <w:t>KMC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D1F19" w14:textId="1FF733A3" w:rsidR="00E64809" w:rsidRDefault="00E64809" w:rsidP="00E64809">
            <w:pPr>
              <w:pStyle w:val="Textbody"/>
            </w:pPr>
            <w:r w:rsidRPr="0099316E">
              <w:t>79%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EDD6C" w14:textId="6984BE9E" w:rsidR="00E64809" w:rsidRDefault="00E64809" w:rsidP="00E64809">
            <w:pPr>
              <w:pStyle w:val="Textbody"/>
            </w:pPr>
            <w:r w:rsidRPr="0099316E">
              <w:t>76%</w:t>
            </w:r>
          </w:p>
        </w:tc>
      </w:tr>
      <w:tr w:rsidR="00E64809" w14:paraId="04338554" w14:textId="77777777" w:rsidTr="00E64809"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82BA" w14:textId="77777777" w:rsidR="00E64809" w:rsidRDefault="00E64809" w:rsidP="00E64809">
            <w:pPr>
              <w:pStyle w:val="Textbody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B1137A" w14:textId="24919B67" w:rsidR="00E64809" w:rsidRDefault="00E64809" w:rsidP="00E64809">
            <w:pPr>
              <w:pStyle w:val="Textbody"/>
            </w:pPr>
            <w:r w:rsidRPr="0099316E">
              <w:t>BPC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51D8B" w14:textId="01037665" w:rsidR="00E64809" w:rsidRDefault="00E64809" w:rsidP="00E64809">
            <w:pPr>
              <w:pStyle w:val="Textbody"/>
            </w:pPr>
            <w:r w:rsidRPr="0099316E">
              <w:t>77%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1864" w14:textId="7CE1A81A" w:rsidR="00E64809" w:rsidRDefault="00E64809" w:rsidP="00E64809">
            <w:pPr>
              <w:pStyle w:val="Textbody"/>
            </w:pPr>
            <w:r w:rsidRPr="0099316E">
              <w:t>76%</w:t>
            </w:r>
          </w:p>
        </w:tc>
      </w:tr>
      <w:tr w:rsidR="00E64809" w14:paraId="62714588" w14:textId="77777777" w:rsidTr="00E64809"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BAFC" w14:textId="4A6796E3" w:rsidR="00E64809" w:rsidRDefault="00E64809" w:rsidP="00E64809">
            <w:pPr>
              <w:pStyle w:val="Textbody"/>
            </w:pPr>
            <w:r w:rsidRPr="00E64809">
              <w:t>Achievement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022B45" w14:textId="77FADC1D" w:rsidR="00E64809" w:rsidRDefault="00E64809" w:rsidP="00E64809">
            <w:pPr>
              <w:pStyle w:val="Textbody"/>
            </w:pPr>
            <w:r w:rsidRPr="0099316E">
              <w:t>KMC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2A1BF" w14:textId="6DDB34DA" w:rsidR="00E64809" w:rsidRDefault="00E64809" w:rsidP="00E64809">
            <w:pPr>
              <w:pStyle w:val="Textbody"/>
            </w:pPr>
            <w:r w:rsidRPr="0099316E">
              <w:t>14%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4189F" w14:textId="0D8773D4" w:rsidR="00E64809" w:rsidRDefault="00E64809" w:rsidP="00E64809">
            <w:pPr>
              <w:pStyle w:val="Textbody"/>
            </w:pPr>
            <w:r w:rsidRPr="0099316E">
              <w:t>26%</w:t>
            </w:r>
          </w:p>
        </w:tc>
      </w:tr>
      <w:tr w:rsidR="00E64809" w14:paraId="64A8409E" w14:textId="77777777" w:rsidTr="00E64809"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4DF8" w14:textId="77777777" w:rsidR="00E64809" w:rsidRDefault="00E64809" w:rsidP="00E64809">
            <w:pPr>
              <w:pStyle w:val="Textbody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0CFB95" w14:textId="20733D65" w:rsidR="00E64809" w:rsidRDefault="00E64809" w:rsidP="00E64809">
            <w:pPr>
              <w:pStyle w:val="Textbody"/>
            </w:pPr>
            <w:r w:rsidRPr="0099316E">
              <w:t>BPC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C70D3" w14:textId="00071A12" w:rsidR="00E64809" w:rsidRDefault="00E64809" w:rsidP="00E64809">
            <w:pPr>
              <w:pStyle w:val="Textbody"/>
            </w:pPr>
            <w:r w:rsidRPr="0099316E">
              <w:t>31%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1257E" w14:textId="2B7FD7DE" w:rsidR="00E64809" w:rsidRDefault="00E64809" w:rsidP="00E64809">
            <w:pPr>
              <w:pStyle w:val="Textbody"/>
            </w:pPr>
            <w:r w:rsidRPr="0099316E">
              <w:t>38%</w:t>
            </w:r>
          </w:p>
        </w:tc>
      </w:tr>
      <w:tr w:rsidR="00E64809" w14:paraId="4D70051C" w14:textId="77777777" w:rsidTr="00E64809"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D254" w14:textId="080A269D" w:rsidR="00E64809" w:rsidRDefault="00E64809" w:rsidP="00E64809">
            <w:pPr>
              <w:pStyle w:val="Textbody"/>
            </w:pPr>
            <w:r w:rsidRPr="00E64809">
              <w:t>Pass Rate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68ADB1" w14:textId="62892362" w:rsidR="00E64809" w:rsidRDefault="00E64809" w:rsidP="00E64809">
            <w:pPr>
              <w:pStyle w:val="Textbody"/>
            </w:pPr>
            <w:r w:rsidRPr="0099316E">
              <w:t>KMC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C3C97" w14:textId="421F55DF" w:rsidR="00E64809" w:rsidRDefault="00E64809" w:rsidP="00E64809">
            <w:pPr>
              <w:pStyle w:val="Textbody"/>
            </w:pPr>
            <w:r w:rsidRPr="0099316E">
              <w:t>93%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D25CE" w14:textId="472E1BBC" w:rsidR="00E64809" w:rsidRDefault="00E64809" w:rsidP="00E64809">
            <w:pPr>
              <w:pStyle w:val="Textbody"/>
            </w:pPr>
            <w:r w:rsidRPr="0099316E">
              <w:t>98%</w:t>
            </w:r>
          </w:p>
        </w:tc>
      </w:tr>
      <w:tr w:rsidR="00E64809" w14:paraId="1EF83A13" w14:textId="77777777" w:rsidTr="00E64809"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0E2A2" w14:textId="77777777" w:rsidR="00E64809" w:rsidRDefault="00E64809" w:rsidP="00E64809">
            <w:pPr>
              <w:pStyle w:val="Textbody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833B11" w14:textId="4EEADF53" w:rsidR="00E64809" w:rsidRDefault="00E64809" w:rsidP="00E64809">
            <w:pPr>
              <w:pStyle w:val="Textbody"/>
            </w:pPr>
            <w:r w:rsidRPr="0099316E">
              <w:t>BPC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7DC954" w14:textId="23865FCD" w:rsidR="00E64809" w:rsidRDefault="00E64809" w:rsidP="00E64809">
            <w:pPr>
              <w:pStyle w:val="Textbody"/>
            </w:pPr>
            <w:r w:rsidRPr="0099316E">
              <w:t>91%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1604C" w14:textId="7515FD7B" w:rsidR="00E64809" w:rsidRDefault="00E64809" w:rsidP="00E64809">
            <w:pPr>
              <w:pStyle w:val="Textbody"/>
            </w:pPr>
            <w:r w:rsidRPr="0099316E">
              <w:t>90%</w:t>
            </w:r>
          </w:p>
        </w:tc>
      </w:tr>
    </w:tbl>
    <w:p w14:paraId="4999FC6B" w14:textId="4C2F0422" w:rsidR="00E64809" w:rsidRDefault="00E64809"/>
    <w:p w14:paraId="42BE5EFF" w14:textId="77777777" w:rsidR="00E64809" w:rsidRDefault="00E64809"/>
    <w:p w14:paraId="6D5D4C8F" w14:textId="266DB394" w:rsidR="00066283" w:rsidRPr="00E64809" w:rsidRDefault="00066283" w:rsidP="00E64809">
      <w:pPr>
        <w:pStyle w:val="Agenda"/>
      </w:pPr>
      <w:r w:rsidRPr="00E64809">
        <w:t>where can i find more information?</w:t>
      </w:r>
    </w:p>
    <w:p w14:paraId="31AF50FC" w14:textId="7A24232A" w:rsidR="00490F0E" w:rsidRPr="00E64809" w:rsidRDefault="00A663E1" w:rsidP="00E64809">
      <w:pPr>
        <w:pStyle w:val="Textbody"/>
      </w:pPr>
      <w:r w:rsidRPr="00E64809">
        <w:t>Further information is available from</w:t>
      </w:r>
      <w:r w:rsidR="00E64809" w:rsidRPr="00E64809">
        <w:t xml:space="preserve"> </w:t>
      </w:r>
      <w:r w:rsidR="0023771E" w:rsidRPr="00E64809">
        <w:t xml:space="preserve">Christine Robertson, Deputy Principal (Curriculum and Quality), Kingston </w:t>
      </w:r>
      <w:proofErr w:type="spellStart"/>
      <w:r w:rsidR="0023771E" w:rsidRPr="00E64809">
        <w:t>Maurward</w:t>
      </w:r>
      <w:proofErr w:type="spellEnd"/>
      <w:r w:rsidR="0023771E" w:rsidRPr="00E64809">
        <w:t xml:space="preserve"> College</w:t>
      </w:r>
      <w:r w:rsidR="00A11787" w:rsidRPr="00E64809">
        <w:t xml:space="preserve">: </w:t>
      </w:r>
      <w:hyperlink r:id="rId8" w:history="1">
        <w:r w:rsidR="00A11787" w:rsidRPr="00E64809">
          <w:t>Christine.robertson@kmc.ac.</w:t>
        </w:r>
        <w:bookmarkStart w:id="0" w:name="_GoBack"/>
        <w:bookmarkEnd w:id="0"/>
        <w:r w:rsidR="00A11787" w:rsidRPr="00E64809">
          <w:t>uk</w:t>
        </w:r>
      </w:hyperlink>
      <w:r w:rsidR="00A11787" w:rsidRPr="00E64809">
        <w:t xml:space="preserve"> </w:t>
      </w:r>
    </w:p>
    <w:sectPr w:rsidR="00490F0E" w:rsidRPr="00E64809" w:rsidSect="002111D9">
      <w:headerReference w:type="default" r:id="rId9"/>
      <w:footerReference w:type="default" r:id="rId10"/>
      <w:pgSz w:w="11906" w:h="16838"/>
      <w:pgMar w:top="2410" w:right="340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C49E" w14:textId="77777777" w:rsidR="00E828B2" w:rsidRDefault="00E828B2" w:rsidP="00FD076E">
      <w:pPr>
        <w:spacing w:after="0" w:line="240" w:lineRule="auto"/>
      </w:pPr>
      <w:r>
        <w:separator/>
      </w:r>
    </w:p>
  </w:endnote>
  <w:endnote w:type="continuationSeparator" w:id="0">
    <w:p w14:paraId="2237E8F9" w14:textId="77777777" w:rsidR="00E828B2" w:rsidRDefault="00E828B2" w:rsidP="00F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BCA7F" w14:textId="751B412C" w:rsidR="00E64809" w:rsidRDefault="00E64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03606" w14:textId="77777777" w:rsidR="00E64809" w:rsidRDefault="00E64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0BB0" w14:textId="77777777" w:rsidR="00E828B2" w:rsidRDefault="00E828B2" w:rsidP="00FD076E">
      <w:pPr>
        <w:spacing w:after="0" w:line="240" w:lineRule="auto"/>
      </w:pPr>
      <w:r>
        <w:separator/>
      </w:r>
    </w:p>
  </w:footnote>
  <w:footnote w:type="continuationSeparator" w:id="0">
    <w:p w14:paraId="0318D3D3" w14:textId="77777777" w:rsidR="00E828B2" w:rsidRDefault="00E828B2" w:rsidP="00F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26BA" w14:textId="77777777" w:rsidR="00326244" w:rsidRDefault="003262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C0249D" wp14:editId="0C6F1EF4">
          <wp:simplePos x="0" y="0"/>
          <wp:positionH relativeFrom="page">
            <wp:posOffset>5532120</wp:posOffset>
          </wp:positionH>
          <wp:positionV relativeFrom="page">
            <wp:posOffset>502920</wp:posOffset>
          </wp:positionV>
          <wp:extent cx="1514462" cy="804599"/>
          <wp:effectExtent l="0" t="0" r="0" b="0"/>
          <wp:wrapTight wrapText="bothSides">
            <wp:wrapPolygon edited="0">
              <wp:start x="0" y="0"/>
              <wp:lineTo x="0" y="20969"/>
              <wp:lineTo x="21201" y="20969"/>
              <wp:lineTo x="21201" y="0"/>
              <wp:lineTo x="0" y="0"/>
            </wp:wrapPolygon>
          </wp:wrapTight>
          <wp:docPr id="16" name="Picture 16" descr="Decorative only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Red_RG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2" cy="804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893A1" w14:textId="77777777" w:rsidR="00326244" w:rsidRDefault="00326244">
    <w:pPr>
      <w:pStyle w:val="Header"/>
    </w:pPr>
  </w:p>
  <w:p w14:paraId="0E243AD1" w14:textId="77777777" w:rsidR="00326244" w:rsidRDefault="00326244">
    <w:pPr>
      <w:pStyle w:val="Header"/>
    </w:pPr>
  </w:p>
  <w:p w14:paraId="1EF127AA" w14:textId="77777777" w:rsidR="00326244" w:rsidRDefault="0032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1E0"/>
    <w:multiLevelType w:val="hybridMultilevel"/>
    <w:tmpl w:val="C0B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DA5"/>
    <w:multiLevelType w:val="hybridMultilevel"/>
    <w:tmpl w:val="83D86F5A"/>
    <w:lvl w:ilvl="0" w:tplc="373A17F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411"/>
    <w:multiLevelType w:val="multilevel"/>
    <w:tmpl w:val="0809001D"/>
    <w:numStyleLink w:val="BulletPoints"/>
  </w:abstractNum>
  <w:abstractNum w:abstractNumId="3" w15:restartNumberingAfterBreak="0">
    <w:nsid w:val="1C0070E0"/>
    <w:multiLevelType w:val="hybridMultilevel"/>
    <w:tmpl w:val="110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7E8"/>
    <w:multiLevelType w:val="hybridMultilevel"/>
    <w:tmpl w:val="E8E0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8F4"/>
    <w:multiLevelType w:val="multilevel"/>
    <w:tmpl w:val="074C63CA"/>
    <w:lvl w:ilvl="0">
      <w:start w:val="1"/>
      <w:numFmt w:val="decimal"/>
      <w:pStyle w:val="NumberedBulletPoints"/>
      <w:lvlText w:val="%1"/>
      <w:lvlJc w:val="left"/>
      <w:pPr>
        <w:ind w:left="227" w:hanging="227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153BCC"/>
    <w:multiLevelType w:val="multilevel"/>
    <w:tmpl w:val="2EE8E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51C41" w:themeColor="accent2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51C41" w:themeColor="accent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E51C41" w:themeColor="accent2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47869"/>
    <w:multiLevelType w:val="hybridMultilevel"/>
    <w:tmpl w:val="4E34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0C3"/>
    <w:multiLevelType w:val="hybridMultilevel"/>
    <w:tmpl w:val="FDC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2B26"/>
    <w:multiLevelType w:val="hybridMultilevel"/>
    <w:tmpl w:val="6074C7B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24A6A"/>
    <w:multiLevelType w:val="hybridMultilevel"/>
    <w:tmpl w:val="2AB2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2B85"/>
    <w:multiLevelType w:val="hybridMultilevel"/>
    <w:tmpl w:val="9A30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9ED"/>
    <w:multiLevelType w:val="hybridMultilevel"/>
    <w:tmpl w:val="B66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7C15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7D2D8F"/>
    <w:multiLevelType w:val="hybridMultilevel"/>
    <w:tmpl w:val="129E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46FA"/>
    <w:multiLevelType w:val="multilevel"/>
    <w:tmpl w:val="D02A50E6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51C41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E51C4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51C41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E51C41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E51C41" w:themeColor="accent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1C65634"/>
    <w:multiLevelType w:val="hybridMultilevel"/>
    <w:tmpl w:val="72AA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6024"/>
    <w:multiLevelType w:val="multilevel"/>
    <w:tmpl w:val="FFE81FB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-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4E2F"/>
    <w:multiLevelType w:val="multilevel"/>
    <w:tmpl w:val="2D4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FEE78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694AC1"/>
    <w:multiLevelType w:val="hybridMultilevel"/>
    <w:tmpl w:val="3642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41F8A"/>
    <w:multiLevelType w:val="hybridMultilevel"/>
    <w:tmpl w:val="41E0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074C"/>
    <w:multiLevelType w:val="hybridMultilevel"/>
    <w:tmpl w:val="510C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A0961"/>
    <w:multiLevelType w:val="multilevel"/>
    <w:tmpl w:val="A4F856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FDB913" w:themeColor="accent3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4" w15:restartNumberingAfterBreak="0">
    <w:nsid w:val="7FC7588F"/>
    <w:multiLevelType w:val="multilevel"/>
    <w:tmpl w:val="B7B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24"/>
  </w:num>
  <w:num w:numId="10">
    <w:abstractNumId w:val="15"/>
  </w:num>
  <w:num w:numId="11">
    <w:abstractNumId w:val="15"/>
  </w:num>
  <w:num w:numId="12">
    <w:abstractNumId w:val="23"/>
  </w:num>
  <w:num w:numId="13">
    <w:abstractNumId w:val="18"/>
  </w:num>
  <w:num w:numId="14">
    <w:abstractNumId w:val="6"/>
  </w:num>
  <w:num w:numId="15">
    <w:abstractNumId w:val="6"/>
  </w:num>
  <w:num w:numId="16">
    <w:abstractNumId w:val="6"/>
  </w:num>
  <w:num w:numId="17">
    <w:abstractNumId w:val="15"/>
  </w:num>
  <w:num w:numId="18">
    <w:abstractNumId w:val="15"/>
  </w:num>
  <w:num w:numId="19">
    <w:abstractNumId w:val="15"/>
  </w:num>
  <w:num w:numId="20">
    <w:abstractNumId w:val="5"/>
  </w:num>
  <w:num w:numId="21">
    <w:abstractNumId w:val="13"/>
  </w:num>
  <w:num w:numId="22">
    <w:abstractNumId w:val="2"/>
  </w:num>
  <w:num w:numId="23">
    <w:abstractNumId w:val="16"/>
  </w:num>
  <w:num w:numId="24">
    <w:abstractNumId w:val="21"/>
  </w:num>
  <w:num w:numId="25">
    <w:abstractNumId w:val="12"/>
  </w:num>
  <w:num w:numId="26">
    <w:abstractNumId w:val="4"/>
  </w:num>
  <w:num w:numId="27">
    <w:abstractNumId w:val="20"/>
  </w:num>
  <w:num w:numId="28">
    <w:abstractNumId w:val="14"/>
  </w:num>
  <w:num w:numId="29">
    <w:abstractNumId w:val="10"/>
  </w:num>
  <w:num w:numId="30">
    <w:abstractNumId w:val="9"/>
  </w:num>
  <w:num w:numId="31">
    <w:abstractNumId w:val="3"/>
  </w:num>
  <w:num w:numId="32">
    <w:abstractNumId w:val="1"/>
  </w:num>
  <w:num w:numId="33">
    <w:abstractNumId w:val="11"/>
  </w:num>
  <w:num w:numId="34">
    <w:abstractNumId w:val="22"/>
  </w:num>
  <w:num w:numId="35">
    <w:abstractNumId w:val="0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D9"/>
    <w:rsid w:val="00007888"/>
    <w:rsid w:val="00025EFD"/>
    <w:rsid w:val="000266CC"/>
    <w:rsid w:val="000353A7"/>
    <w:rsid w:val="00042292"/>
    <w:rsid w:val="000543CF"/>
    <w:rsid w:val="00066283"/>
    <w:rsid w:val="000B27B7"/>
    <w:rsid w:val="000C1E33"/>
    <w:rsid w:val="000C25E6"/>
    <w:rsid w:val="000C67F2"/>
    <w:rsid w:val="000F5FDD"/>
    <w:rsid w:val="00103771"/>
    <w:rsid w:val="00111CA7"/>
    <w:rsid w:val="0012361B"/>
    <w:rsid w:val="00133980"/>
    <w:rsid w:val="001378D5"/>
    <w:rsid w:val="001452BF"/>
    <w:rsid w:val="0017513D"/>
    <w:rsid w:val="00177D4A"/>
    <w:rsid w:val="001C36F4"/>
    <w:rsid w:val="001E266F"/>
    <w:rsid w:val="001E5461"/>
    <w:rsid w:val="002111D9"/>
    <w:rsid w:val="002217F6"/>
    <w:rsid w:val="0022337D"/>
    <w:rsid w:val="00223AA0"/>
    <w:rsid w:val="0023771E"/>
    <w:rsid w:val="00253C1E"/>
    <w:rsid w:val="00270150"/>
    <w:rsid w:val="002933DE"/>
    <w:rsid w:val="002976EF"/>
    <w:rsid w:val="00297B42"/>
    <w:rsid w:val="002A11CE"/>
    <w:rsid w:val="002A1687"/>
    <w:rsid w:val="002A31FB"/>
    <w:rsid w:val="002B3B51"/>
    <w:rsid w:val="002B5D01"/>
    <w:rsid w:val="002D43D2"/>
    <w:rsid w:val="002D704C"/>
    <w:rsid w:val="00326244"/>
    <w:rsid w:val="00367AFE"/>
    <w:rsid w:val="00386DDF"/>
    <w:rsid w:val="003B4063"/>
    <w:rsid w:val="003C44A0"/>
    <w:rsid w:val="003C4A8A"/>
    <w:rsid w:val="003D0BFE"/>
    <w:rsid w:val="003D37B9"/>
    <w:rsid w:val="003D4499"/>
    <w:rsid w:val="003D6455"/>
    <w:rsid w:val="003E1513"/>
    <w:rsid w:val="004034F1"/>
    <w:rsid w:val="0040566D"/>
    <w:rsid w:val="00423907"/>
    <w:rsid w:val="004850A8"/>
    <w:rsid w:val="00490F0E"/>
    <w:rsid w:val="004C2EF1"/>
    <w:rsid w:val="004E4D9B"/>
    <w:rsid w:val="004E791E"/>
    <w:rsid w:val="004F1C9A"/>
    <w:rsid w:val="00501B59"/>
    <w:rsid w:val="00505AB3"/>
    <w:rsid w:val="00524DFE"/>
    <w:rsid w:val="00525C27"/>
    <w:rsid w:val="00566231"/>
    <w:rsid w:val="005733B4"/>
    <w:rsid w:val="00573C61"/>
    <w:rsid w:val="0058141C"/>
    <w:rsid w:val="005C122B"/>
    <w:rsid w:val="005C42BF"/>
    <w:rsid w:val="005C7E0B"/>
    <w:rsid w:val="005E1B83"/>
    <w:rsid w:val="005E5CC7"/>
    <w:rsid w:val="005F2A64"/>
    <w:rsid w:val="006121CF"/>
    <w:rsid w:val="00620E63"/>
    <w:rsid w:val="006353D9"/>
    <w:rsid w:val="006463D4"/>
    <w:rsid w:val="0066008B"/>
    <w:rsid w:val="0066456F"/>
    <w:rsid w:val="00666EDA"/>
    <w:rsid w:val="00671A68"/>
    <w:rsid w:val="00683ED2"/>
    <w:rsid w:val="006A0EC6"/>
    <w:rsid w:val="006B7A9F"/>
    <w:rsid w:val="006E3C64"/>
    <w:rsid w:val="006F5D00"/>
    <w:rsid w:val="007038E7"/>
    <w:rsid w:val="00730914"/>
    <w:rsid w:val="00735321"/>
    <w:rsid w:val="0073535A"/>
    <w:rsid w:val="00735A7B"/>
    <w:rsid w:val="007447D8"/>
    <w:rsid w:val="0076594C"/>
    <w:rsid w:val="00782BC9"/>
    <w:rsid w:val="007B179E"/>
    <w:rsid w:val="007B2B2C"/>
    <w:rsid w:val="007C2E68"/>
    <w:rsid w:val="007C605F"/>
    <w:rsid w:val="007C77B7"/>
    <w:rsid w:val="007E10B9"/>
    <w:rsid w:val="0082080F"/>
    <w:rsid w:val="008248FE"/>
    <w:rsid w:val="00833980"/>
    <w:rsid w:val="00853733"/>
    <w:rsid w:val="008557B5"/>
    <w:rsid w:val="0086461B"/>
    <w:rsid w:val="0086636A"/>
    <w:rsid w:val="0086767A"/>
    <w:rsid w:val="00872F4E"/>
    <w:rsid w:val="0088612E"/>
    <w:rsid w:val="008A405C"/>
    <w:rsid w:val="008A7861"/>
    <w:rsid w:val="008B4B8D"/>
    <w:rsid w:val="008E0C2B"/>
    <w:rsid w:val="009124E8"/>
    <w:rsid w:val="009321FA"/>
    <w:rsid w:val="0093398A"/>
    <w:rsid w:val="009631D6"/>
    <w:rsid w:val="00974BCD"/>
    <w:rsid w:val="00976CA0"/>
    <w:rsid w:val="00990181"/>
    <w:rsid w:val="0099316E"/>
    <w:rsid w:val="009957F7"/>
    <w:rsid w:val="009A23C0"/>
    <w:rsid w:val="009B4072"/>
    <w:rsid w:val="009D1F1E"/>
    <w:rsid w:val="00A11787"/>
    <w:rsid w:val="00A162BD"/>
    <w:rsid w:val="00A21505"/>
    <w:rsid w:val="00A2663E"/>
    <w:rsid w:val="00A331ED"/>
    <w:rsid w:val="00A663E1"/>
    <w:rsid w:val="00A836AD"/>
    <w:rsid w:val="00AA7F88"/>
    <w:rsid w:val="00AB0C11"/>
    <w:rsid w:val="00AB53F7"/>
    <w:rsid w:val="00AB7E7B"/>
    <w:rsid w:val="00AD6545"/>
    <w:rsid w:val="00AF1311"/>
    <w:rsid w:val="00AF7278"/>
    <w:rsid w:val="00B104F2"/>
    <w:rsid w:val="00B17D39"/>
    <w:rsid w:val="00B259BA"/>
    <w:rsid w:val="00B538A6"/>
    <w:rsid w:val="00B639A7"/>
    <w:rsid w:val="00B86F9F"/>
    <w:rsid w:val="00B91DFB"/>
    <w:rsid w:val="00BA16DC"/>
    <w:rsid w:val="00BB7161"/>
    <w:rsid w:val="00BC6FF5"/>
    <w:rsid w:val="00BE4AEB"/>
    <w:rsid w:val="00BE5E4D"/>
    <w:rsid w:val="00BE74C5"/>
    <w:rsid w:val="00C03FBA"/>
    <w:rsid w:val="00C12ADC"/>
    <w:rsid w:val="00C13000"/>
    <w:rsid w:val="00C4224F"/>
    <w:rsid w:val="00C427CD"/>
    <w:rsid w:val="00C44961"/>
    <w:rsid w:val="00C568B5"/>
    <w:rsid w:val="00C80B9C"/>
    <w:rsid w:val="00C9350D"/>
    <w:rsid w:val="00C95EC6"/>
    <w:rsid w:val="00CA399E"/>
    <w:rsid w:val="00CB0E35"/>
    <w:rsid w:val="00CB172C"/>
    <w:rsid w:val="00CB6845"/>
    <w:rsid w:val="00CD5388"/>
    <w:rsid w:val="00D32973"/>
    <w:rsid w:val="00D34A0D"/>
    <w:rsid w:val="00D432CB"/>
    <w:rsid w:val="00D5273E"/>
    <w:rsid w:val="00D52D06"/>
    <w:rsid w:val="00D64104"/>
    <w:rsid w:val="00D64407"/>
    <w:rsid w:val="00D77D1F"/>
    <w:rsid w:val="00DA03C8"/>
    <w:rsid w:val="00DA53CB"/>
    <w:rsid w:val="00DA66D9"/>
    <w:rsid w:val="00DB74F7"/>
    <w:rsid w:val="00DC0A1F"/>
    <w:rsid w:val="00DC74A1"/>
    <w:rsid w:val="00E22C7B"/>
    <w:rsid w:val="00E448FF"/>
    <w:rsid w:val="00E45470"/>
    <w:rsid w:val="00E64809"/>
    <w:rsid w:val="00E655CC"/>
    <w:rsid w:val="00E75F0A"/>
    <w:rsid w:val="00E76C6D"/>
    <w:rsid w:val="00E828B2"/>
    <w:rsid w:val="00E83704"/>
    <w:rsid w:val="00E86C47"/>
    <w:rsid w:val="00E93F39"/>
    <w:rsid w:val="00EB1078"/>
    <w:rsid w:val="00EC3F46"/>
    <w:rsid w:val="00ED37B0"/>
    <w:rsid w:val="00EE3AD4"/>
    <w:rsid w:val="00EF02B7"/>
    <w:rsid w:val="00EF6965"/>
    <w:rsid w:val="00F620C4"/>
    <w:rsid w:val="00F739A2"/>
    <w:rsid w:val="00F868BB"/>
    <w:rsid w:val="00FA03E6"/>
    <w:rsid w:val="00FA16DE"/>
    <w:rsid w:val="00FA3F51"/>
    <w:rsid w:val="00FA51EC"/>
    <w:rsid w:val="00FC380F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991A0"/>
  <w15:docId w15:val="{250AA52D-65BC-40C5-B02D-0D5043A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ryant Regular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122B"/>
    <w:pPr>
      <w:spacing w:after="180" w:line="240" w:lineRule="atLeast"/>
    </w:pPr>
  </w:style>
  <w:style w:type="paragraph" w:styleId="Heading1">
    <w:name w:val="heading 1"/>
    <w:basedOn w:val="Normal"/>
    <w:link w:val="Heading1Char"/>
    <w:semiHidden/>
    <w:rsid w:val="003D0BFE"/>
    <w:pPr>
      <w:spacing w:after="0" w:line="440" w:lineRule="exact"/>
      <w:outlineLvl w:val="0"/>
    </w:pPr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D6545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D432CB"/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2CB"/>
  </w:style>
  <w:style w:type="paragraph" w:styleId="Footer">
    <w:name w:val="footer"/>
    <w:basedOn w:val="Normal"/>
    <w:link w:val="FooterChar"/>
    <w:uiPriority w:val="99"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CB"/>
  </w:style>
  <w:style w:type="character" w:customStyle="1" w:styleId="Heading2Char">
    <w:name w:val="Heading 2 Char"/>
    <w:basedOn w:val="DefaultParagraphFont"/>
    <w:link w:val="Heading2"/>
    <w:uiPriority w:val="9"/>
    <w:semiHidden/>
    <w:rsid w:val="00D432CB"/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paragraph" w:customStyle="1" w:styleId="MeetingTitle">
    <w:name w:val="Meeting Title"/>
    <w:basedOn w:val="Normal"/>
    <w:link w:val="MeetingTitleChar"/>
    <w:qFormat/>
    <w:rsid w:val="00E86C47"/>
    <w:pPr>
      <w:pBdr>
        <w:top w:val="single" w:sz="4" w:space="1" w:color="7F7F7F" w:themeColor="text1" w:themeTint="80"/>
      </w:pBdr>
      <w:spacing w:after="0" w:line="780" w:lineRule="exact"/>
    </w:pPr>
    <w:rPr>
      <w:b/>
      <w:caps/>
      <w:color w:val="00A068" w:themeColor="accent1"/>
      <w:sz w:val="72"/>
      <w:szCs w:val="72"/>
    </w:rPr>
  </w:style>
  <w:style w:type="paragraph" w:customStyle="1" w:styleId="Textbody">
    <w:name w:val="Text body"/>
    <w:basedOn w:val="Normal"/>
    <w:uiPriority w:val="1"/>
    <w:qFormat/>
    <w:rsid w:val="00853733"/>
    <w:pPr>
      <w:spacing w:after="0" w:line="380" w:lineRule="exact"/>
    </w:pPr>
    <w:rPr>
      <w:sz w:val="24"/>
      <w:szCs w:val="28"/>
    </w:rPr>
  </w:style>
  <w:style w:type="paragraph" w:customStyle="1" w:styleId="Agenda">
    <w:name w:val="Agenda"/>
    <w:basedOn w:val="Normal"/>
    <w:uiPriority w:val="2"/>
    <w:qFormat/>
    <w:rsid w:val="00E86C47"/>
    <w:pPr>
      <w:pBdr>
        <w:top w:val="single" w:sz="4" w:space="1" w:color="7F7F7F" w:themeColor="text1" w:themeTint="80"/>
      </w:pBdr>
      <w:spacing w:before="120" w:after="0" w:line="300" w:lineRule="exact"/>
    </w:pPr>
    <w:rPr>
      <w:b/>
      <w:caps/>
      <w:color w:val="00A068" w:themeColor="accen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32CB"/>
    <w:pPr>
      <w:ind w:left="720"/>
      <w:contextualSpacing/>
    </w:pPr>
  </w:style>
  <w:style w:type="paragraph" w:customStyle="1" w:styleId="NumberedBulletPoints">
    <w:name w:val="Numbered Bullet Points"/>
    <w:basedOn w:val="ListParagraph"/>
    <w:link w:val="NumberedBulletPointsChar"/>
    <w:uiPriority w:val="3"/>
    <w:qFormat/>
    <w:rsid w:val="00853733"/>
    <w:pPr>
      <w:numPr>
        <w:numId w:val="20"/>
      </w:numPr>
      <w:spacing w:after="0" w:line="340" w:lineRule="exact"/>
    </w:pPr>
    <w:rPr>
      <w:sz w:val="24"/>
      <w:szCs w:val="28"/>
    </w:rPr>
  </w:style>
  <w:style w:type="numbering" w:customStyle="1" w:styleId="BulletPoints">
    <w:name w:val="Bullet Points"/>
    <w:basedOn w:val="NoList"/>
    <w:uiPriority w:val="99"/>
    <w:rsid w:val="00C80B9C"/>
    <w:pPr>
      <w:numPr>
        <w:numId w:val="21"/>
      </w:numPr>
    </w:pPr>
  </w:style>
  <w:style w:type="paragraph" w:customStyle="1" w:styleId="Bulletpoint">
    <w:name w:val="Bullet point"/>
    <w:basedOn w:val="NumberedBulletPoints"/>
    <w:link w:val="BulletpointChar"/>
    <w:rsid w:val="00C80B9C"/>
    <w:pPr>
      <w:numPr>
        <w:numId w:val="0"/>
      </w:numPr>
      <w:ind w:left="227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0B9C"/>
  </w:style>
  <w:style w:type="character" w:customStyle="1" w:styleId="NumberedBulletPointsChar">
    <w:name w:val="Numbered Bullet Points Char"/>
    <w:basedOn w:val="ListParagraphChar"/>
    <w:link w:val="NumberedBulletPoints"/>
    <w:uiPriority w:val="3"/>
    <w:rsid w:val="00853733"/>
    <w:rPr>
      <w:sz w:val="24"/>
      <w:szCs w:val="28"/>
    </w:rPr>
  </w:style>
  <w:style w:type="character" w:customStyle="1" w:styleId="BulletpointChar">
    <w:name w:val="Bullet point Char"/>
    <w:basedOn w:val="NumberedBulletPointsChar"/>
    <w:link w:val="Bulletpoint"/>
    <w:rsid w:val="00C80B9C"/>
    <w:rPr>
      <w:sz w:val="28"/>
      <w:szCs w:val="28"/>
    </w:rPr>
  </w:style>
  <w:style w:type="paragraph" w:customStyle="1" w:styleId="DateandTime">
    <w:name w:val="Date and Time"/>
    <w:basedOn w:val="Normal"/>
    <w:uiPriority w:val="1"/>
    <w:qFormat/>
    <w:rsid w:val="00853733"/>
    <w:pPr>
      <w:spacing w:after="0" w:line="380" w:lineRule="exact"/>
    </w:pPr>
    <w:rPr>
      <w:sz w:val="28"/>
      <w:szCs w:val="28"/>
    </w:rPr>
  </w:style>
  <w:style w:type="paragraph" w:customStyle="1" w:styleId="Quoteinquotebox">
    <w:name w:val="Quote in quote box"/>
    <w:basedOn w:val="MeetingTitle"/>
    <w:link w:val="QuoteinquoteboxChar"/>
    <w:qFormat/>
    <w:rsid w:val="00853733"/>
    <w:pPr>
      <w:pBdr>
        <w:top w:val="none" w:sz="0" w:space="0" w:color="auto"/>
      </w:pBdr>
    </w:pPr>
    <w:rPr>
      <w:color w:val="FFFFFF" w:themeColor="background1"/>
    </w:rPr>
  </w:style>
  <w:style w:type="character" w:customStyle="1" w:styleId="MeetingTitleChar">
    <w:name w:val="Meeting Title Char"/>
    <w:basedOn w:val="DefaultParagraphFont"/>
    <w:link w:val="MeetingTitle"/>
    <w:rsid w:val="00E86C47"/>
    <w:rPr>
      <w:b/>
      <w:caps/>
      <w:color w:val="00A068" w:themeColor="accent1"/>
      <w:sz w:val="72"/>
      <w:szCs w:val="72"/>
    </w:rPr>
  </w:style>
  <w:style w:type="character" w:customStyle="1" w:styleId="QuoteinquoteboxChar">
    <w:name w:val="Quote in quote box Char"/>
    <w:basedOn w:val="MeetingTitleChar"/>
    <w:link w:val="Quoteinquotebox"/>
    <w:rsid w:val="00853733"/>
    <w:rPr>
      <w:b/>
      <w:caps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4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D8"/>
    <w:pPr>
      <w:spacing w:after="20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1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3771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44"/>
    <w:pPr>
      <w:spacing w:after="180"/>
    </w:pPr>
    <w:rPr>
      <w:rFonts w:ascii="Arial" w:hAnsi="Arial" w:cs="Bryant Regular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44"/>
    <w:rPr>
      <w:rFonts w:ascii="Calibri" w:hAnsi="Calibri" w:cs="Times New Roman"/>
      <w:b/>
      <w:bCs/>
    </w:rPr>
  </w:style>
  <w:style w:type="table" w:customStyle="1" w:styleId="ListTable1Light1">
    <w:name w:val="List Table 1 Light1"/>
    <w:basedOn w:val="TableNormal"/>
    <w:uiPriority w:val="46"/>
    <w:rsid w:val="002217F6"/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11787"/>
    <w:rPr>
      <w:color w:val="605E5C"/>
      <w:shd w:val="clear" w:color="auto" w:fill="E1DFDD"/>
    </w:rPr>
  </w:style>
  <w:style w:type="table" w:styleId="TableGrid">
    <w:name w:val="Table Grid"/>
    <w:basedOn w:val="TableNormal"/>
    <w:rsid w:val="00E6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bertson@km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s\Branding\ETF%20brand\NEW%20ETF%20brand\Agenda\Word%20Templates(Option%201)\Agenda%20Option%201%20(Red).dotx" TargetMode="External"/></Relationships>
</file>

<file path=word/theme/theme1.xml><?xml version="1.0" encoding="utf-8"?>
<a:theme xmlns:a="http://schemas.openxmlformats.org/drawingml/2006/main" name="Office Theme">
  <a:themeElements>
    <a:clrScheme name="ETF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A068"/>
      </a:accent1>
      <a:accent2>
        <a:srgbClr val="E51C41"/>
      </a:accent2>
      <a:accent3>
        <a:srgbClr val="FDB913"/>
      </a:accent3>
      <a:accent4>
        <a:srgbClr val="0071F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06DF-185C-4BFE-854E-074E06DF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Option 1 (Red)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Gifford</dc:creator>
  <cp:lastModifiedBy>Ljaja Sterland</cp:lastModifiedBy>
  <cp:revision>2</cp:revision>
  <dcterms:created xsi:type="dcterms:W3CDTF">2019-03-24T13:26:00Z</dcterms:created>
  <dcterms:modified xsi:type="dcterms:W3CDTF">2019-03-24T13:26:00Z</dcterms:modified>
</cp:coreProperties>
</file>