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F" w:rsidRDefault="005C29CF">
      <w:pPr>
        <w:rPr>
          <w:b/>
          <w:sz w:val="32"/>
          <w:szCs w:val="32"/>
        </w:rPr>
      </w:pPr>
      <w:r w:rsidRPr="005C29CF">
        <w:rPr>
          <w:b/>
          <w:sz w:val="32"/>
          <w:szCs w:val="32"/>
        </w:rPr>
        <w:t>Column of pounds</w:t>
      </w:r>
    </w:p>
    <w:p w:rsidR="00F35335" w:rsidRDefault="00F35335" w:rsidP="00F35335">
      <w:pPr>
        <w:rPr>
          <w:rFonts w:ascii="Calibri" w:hAnsi="Calibri"/>
          <w:b/>
          <w:sz w:val="32"/>
          <w:szCs w:val="32"/>
        </w:rPr>
      </w:pPr>
    </w:p>
    <w:p w:rsidR="00F35335" w:rsidRDefault="00F35335" w:rsidP="00F35335">
      <w:pPr>
        <w:rPr>
          <w:rFonts w:ascii="Calibri" w:hAnsi="Calibri"/>
          <w:sz w:val="24"/>
          <w:szCs w:val="24"/>
        </w:rPr>
      </w:pPr>
      <w:r>
        <w:rPr>
          <w:rFonts w:ascii="Calibri" w:hAnsi="Calibri"/>
        </w:rPr>
        <w:t>The aim of this activity is to give learners practice in problem solving using a range of measuring skills including weight and length in a very practical way.</w:t>
      </w:r>
    </w:p>
    <w:p w:rsidR="00F35335" w:rsidRDefault="00F35335" w:rsidP="00F35335">
      <w:pPr>
        <w:rPr>
          <w:rFonts w:ascii="Calibri" w:hAnsi="Calibri"/>
        </w:rPr>
      </w:pPr>
      <w:r>
        <w:rPr>
          <w:rFonts w:ascii="Calibri" w:hAnsi="Calibri"/>
        </w:rPr>
        <w:t>It will also be an opportunity to incorporate assumptions and planning skills.</w:t>
      </w:r>
    </w:p>
    <w:p w:rsidR="00F35335" w:rsidRDefault="00F35335" w:rsidP="00F35335">
      <w:pPr>
        <w:rPr>
          <w:rFonts w:ascii="Calibri" w:hAnsi="Calibri"/>
        </w:rPr>
      </w:pPr>
    </w:p>
    <w:p w:rsidR="00F35335" w:rsidRDefault="00F35335" w:rsidP="00F35335">
      <w:pPr>
        <w:rPr>
          <w:rFonts w:ascii="Calibri" w:hAnsi="Calibri"/>
        </w:rPr>
      </w:pPr>
      <w:r>
        <w:rPr>
          <w:rFonts w:ascii="Calibri" w:hAnsi="Calibri"/>
          <w:b/>
        </w:rPr>
        <w:t>Level</w:t>
      </w:r>
      <w:r>
        <w:rPr>
          <w:rFonts w:ascii="Calibri" w:hAnsi="Calibri"/>
        </w:rPr>
        <w:t>: Entry 3 – level 1</w:t>
      </w:r>
    </w:p>
    <w:p w:rsidR="00F35335" w:rsidRDefault="00F35335" w:rsidP="00F35335">
      <w:pPr>
        <w:rPr>
          <w:rFonts w:ascii="Calibri" w:hAnsi="Calibri"/>
        </w:rPr>
      </w:pPr>
    </w:p>
    <w:p w:rsidR="00F35335" w:rsidRDefault="00F35335" w:rsidP="00F35335">
      <w:pPr>
        <w:rPr>
          <w:rFonts w:ascii="Calibri" w:hAnsi="Calibri"/>
          <w:b/>
        </w:rPr>
      </w:pPr>
      <w:r>
        <w:rPr>
          <w:rFonts w:ascii="Calibri" w:hAnsi="Calibri"/>
          <w:b/>
        </w:rPr>
        <w:t>What do I need?</w:t>
      </w:r>
    </w:p>
    <w:p w:rsidR="00F35335" w:rsidRDefault="00F35335" w:rsidP="00F35335">
      <w:pPr>
        <w:rPr>
          <w:rFonts w:ascii="Calibri" w:hAnsi="Calibri"/>
        </w:rPr>
      </w:pPr>
    </w:p>
    <w:p w:rsidR="00F35335" w:rsidRDefault="00F35335" w:rsidP="00F35335">
      <w:pPr>
        <w:numPr>
          <w:ilvl w:val="0"/>
          <w:numId w:val="5"/>
        </w:numPr>
        <w:rPr>
          <w:rFonts w:ascii="Calibri" w:hAnsi="Calibri"/>
        </w:rPr>
      </w:pPr>
      <w:r>
        <w:rPr>
          <w:rFonts w:ascii="Calibri" w:hAnsi="Calibri"/>
        </w:rPr>
        <w:t>Calculators</w:t>
      </w:r>
    </w:p>
    <w:p w:rsidR="00F35335" w:rsidRDefault="00F35335" w:rsidP="00F35335">
      <w:pPr>
        <w:numPr>
          <w:ilvl w:val="0"/>
          <w:numId w:val="5"/>
        </w:numPr>
        <w:rPr>
          <w:rFonts w:ascii="Calibri" w:hAnsi="Calibri"/>
        </w:rPr>
      </w:pPr>
      <w:r>
        <w:rPr>
          <w:rFonts w:ascii="Calibri" w:hAnsi="Calibri"/>
        </w:rPr>
        <w:t>Rulers</w:t>
      </w:r>
    </w:p>
    <w:p w:rsidR="00F35335" w:rsidRDefault="00F35335" w:rsidP="00F35335">
      <w:pPr>
        <w:numPr>
          <w:ilvl w:val="0"/>
          <w:numId w:val="5"/>
        </w:numPr>
        <w:rPr>
          <w:rFonts w:ascii="Calibri" w:hAnsi="Calibri"/>
        </w:rPr>
      </w:pPr>
      <w:r>
        <w:rPr>
          <w:rFonts w:ascii="Calibri" w:hAnsi="Calibri"/>
        </w:rPr>
        <w:t xml:space="preserve">Tape measures </w:t>
      </w:r>
    </w:p>
    <w:p w:rsidR="00F35335" w:rsidRDefault="00F35335" w:rsidP="00F35335">
      <w:pPr>
        <w:numPr>
          <w:ilvl w:val="0"/>
          <w:numId w:val="5"/>
        </w:numPr>
        <w:rPr>
          <w:rFonts w:ascii="Calibri" w:hAnsi="Calibri"/>
        </w:rPr>
      </w:pPr>
      <w:r>
        <w:rPr>
          <w:rFonts w:ascii="Calibri" w:hAnsi="Calibri"/>
        </w:rPr>
        <w:t>Accurate scales</w:t>
      </w:r>
    </w:p>
    <w:p w:rsidR="00F35335" w:rsidRDefault="00F35335" w:rsidP="00F35335">
      <w:pPr>
        <w:numPr>
          <w:ilvl w:val="0"/>
          <w:numId w:val="5"/>
        </w:numPr>
        <w:rPr>
          <w:rFonts w:ascii="Calibri" w:hAnsi="Calibri"/>
        </w:rPr>
      </w:pPr>
      <w:r>
        <w:rPr>
          <w:rFonts w:ascii="Calibri" w:hAnsi="Calibri"/>
        </w:rPr>
        <w:t>Flipchart paper</w:t>
      </w:r>
    </w:p>
    <w:p w:rsidR="00F35335" w:rsidRDefault="00F35335" w:rsidP="00F35335">
      <w:pPr>
        <w:rPr>
          <w:rFonts w:ascii="Calibri" w:hAnsi="Calibri"/>
        </w:rPr>
      </w:pPr>
    </w:p>
    <w:p w:rsidR="00F35335" w:rsidRDefault="00F35335" w:rsidP="00F35335">
      <w:pPr>
        <w:rPr>
          <w:rFonts w:ascii="Calibri" w:hAnsi="Calibri"/>
          <w:b/>
        </w:rPr>
      </w:pPr>
      <w:r>
        <w:rPr>
          <w:rFonts w:ascii="Calibri" w:hAnsi="Calibri"/>
          <w:b/>
        </w:rPr>
        <w:t>How is it used?</w:t>
      </w:r>
    </w:p>
    <w:p w:rsidR="00F35335" w:rsidRDefault="00F35335" w:rsidP="00F35335">
      <w:pPr>
        <w:rPr>
          <w:rFonts w:ascii="Calibri" w:hAnsi="Calibri"/>
        </w:rPr>
      </w:pPr>
    </w:p>
    <w:p w:rsidR="00F35335" w:rsidRDefault="00F35335" w:rsidP="00F35335">
      <w:pPr>
        <w:rPr>
          <w:rFonts w:ascii="Calibri" w:hAnsi="Calibri"/>
        </w:rPr>
      </w:pPr>
      <w:r>
        <w:rPr>
          <w:rFonts w:ascii="Calibri" w:hAnsi="Calibri"/>
        </w:rPr>
        <w:t xml:space="preserve">Being in no particular context it should be applicable to all learners but could be contextualised as a further activity. This also means that once completed, the skills and processes practised within the task can be identified and discussed to see where they might be used in other, more practical situations. </w:t>
      </w:r>
    </w:p>
    <w:p w:rsidR="00F35335" w:rsidRDefault="00F35335" w:rsidP="00F35335">
      <w:pPr>
        <w:rPr>
          <w:rFonts w:ascii="Calibri" w:hAnsi="Calibri"/>
        </w:rPr>
      </w:pPr>
    </w:p>
    <w:p w:rsidR="00F35335" w:rsidRDefault="00F35335" w:rsidP="00F35335">
      <w:pPr>
        <w:rPr>
          <w:rFonts w:ascii="Calibri" w:hAnsi="Calibri"/>
        </w:rPr>
      </w:pPr>
      <w:r>
        <w:rPr>
          <w:rFonts w:ascii="Calibri" w:hAnsi="Calibri"/>
        </w:rPr>
        <w:t>I have used this task as an activity during the teaching of measurement to reinforce the conversion between units of measure and to bring in a practical context. I often have the learners decide on something other than coins to compare like £5 notes or stamps.</w:t>
      </w:r>
    </w:p>
    <w:p w:rsidR="00F35335" w:rsidRDefault="00F35335" w:rsidP="00F35335">
      <w:pPr>
        <w:rPr>
          <w:rFonts w:ascii="Calibri" w:hAnsi="Calibri"/>
        </w:rPr>
      </w:pPr>
    </w:p>
    <w:p w:rsidR="00F35335" w:rsidRDefault="00F35335" w:rsidP="00F35335">
      <w:pPr>
        <w:rPr>
          <w:rFonts w:ascii="Calibri" w:hAnsi="Calibri"/>
        </w:rPr>
      </w:pPr>
      <w:r>
        <w:rPr>
          <w:rFonts w:ascii="Calibri" w:hAnsi="Calibri"/>
        </w:rPr>
        <w:t>The numeracy skills in this task are level 1 but even entry 3 learners should, with a little support, be able to complete this task. I have used it in a mixed group with the stronger learners paired up and given further challenges on top such as what height / weight would someone need to be to make it equal?</w:t>
      </w:r>
    </w:p>
    <w:p w:rsidR="00F35335" w:rsidRDefault="00F35335" w:rsidP="00F35335">
      <w:pPr>
        <w:rPr>
          <w:rFonts w:ascii="Calibri" w:hAnsi="Calibri"/>
        </w:rPr>
      </w:pPr>
      <w:r>
        <w:rPr>
          <w:rFonts w:ascii="Calibri" w:hAnsi="Calibri"/>
        </w:rPr>
        <w:t>Arranging the learners into pairs or small groups and asking them to write their annotated calculations and results onto flip chart paper and explaining this to the group, will help them to get into good habits when answering assessment papers.</w:t>
      </w:r>
    </w:p>
    <w:p w:rsidR="00F35335" w:rsidRDefault="00F35335" w:rsidP="00F35335">
      <w:pPr>
        <w:rPr>
          <w:rFonts w:ascii="Calibri" w:hAnsi="Calibri"/>
        </w:rPr>
      </w:pPr>
    </w:p>
    <w:p w:rsidR="00F35335" w:rsidRDefault="00F35335" w:rsidP="00F35335">
      <w:pPr>
        <w:rPr>
          <w:rFonts w:ascii="Calibri" w:hAnsi="Calibri"/>
        </w:rPr>
      </w:pPr>
      <w:r>
        <w:rPr>
          <w:rFonts w:ascii="Calibri" w:hAnsi="Calibri"/>
        </w:rPr>
        <w:t>Some of the useful functional skills that this can be used to highlight and practice are:</w:t>
      </w:r>
    </w:p>
    <w:p w:rsidR="00F35335" w:rsidRDefault="00F35335" w:rsidP="00F35335">
      <w:pPr>
        <w:rPr>
          <w:rFonts w:ascii="Calibri" w:hAnsi="Calibri"/>
        </w:rPr>
      </w:pPr>
    </w:p>
    <w:p w:rsidR="00F35335" w:rsidRDefault="00F35335" w:rsidP="00F35335">
      <w:pPr>
        <w:numPr>
          <w:ilvl w:val="0"/>
          <w:numId w:val="6"/>
        </w:numPr>
        <w:rPr>
          <w:rFonts w:ascii="Calibri" w:hAnsi="Calibri"/>
        </w:rPr>
      </w:pPr>
      <w:r>
        <w:rPr>
          <w:rFonts w:ascii="Calibri" w:hAnsi="Calibri"/>
        </w:rPr>
        <w:t>Making a plan of a task – Representing</w:t>
      </w:r>
    </w:p>
    <w:p w:rsidR="00F35335" w:rsidRDefault="00F35335" w:rsidP="00F35335">
      <w:pPr>
        <w:numPr>
          <w:ilvl w:val="0"/>
          <w:numId w:val="6"/>
        </w:numPr>
        <w:rPr>
          <w:rFonts w:ascii="Calibri" w:hAnsi="Calibri"/>
        </w:rPr>
      </w:pPr>
      <w:r>
        <w:rPr>
          <w:rFonts w:ascii="Calibri" w:hAnsi="Calibri"/>
        </w:rPr>
        <w:t xml:space="preserve">Deciding on levels of accuracy required and </w:t>
      </w:r>
      <w:r>
        <w:rPr>
          <w:rFonts w:ascii="Calibri" w:hAnsi="Calibri"/>
        </w:rPr>
        <w:t>effect</w:t>
      </w:r>
      <w:r>
        <w:rPr>
          <w:rFonts w:ascii="Calibri" w:hAnsi="Calibri"/>
        </w:rPr>
        <w:t xml:space="preserve"> of rounding on the outcome – Analysis of the data </w:t>
      </w:r>
    </w:p>
    <w:p w:rsidR="00F35335" w:rsidRDefault="00F35335" w:rsidP="00F35335">
      <w:pPr>
        <w:numPr>
          <w:ilvl w:val="0"/>
          <w:numId w:val="6"/>
        </w:numPr>
        <w:rPr>
          <w:rFonts w:ascii="Calibri" w:hAnsi="Calibri"/>
        </w:rPr>
      </w:pPr>
      <w:r>
        <w:rPr>
          <w:rFonts w:ascii="Calibri" w:hAnsi="Calibri"/>
        </w:rPr>
        <w:t>Assumptions – e.g. could you pile coins that height without them falling over</w:t>
      </w:r>
    </w:p>
    <w:p w:rsidR="00F35335" w:rsidRDefault="00F35335" w:rsidP="00F35335">
      <w:pPr>
        <w:numPr>
          <w:ilvl w:val="0"/>
          <w:numId w:val="6"/>
        </w:numPr>
        <w:rPr>
          <w:rFonts w:ascii="Calibri" w:hAnsi="Calibri"/>
        </w:rPr>
      </w:pPr>
      <w:r>
        <w:rPr>
          <w:rFonts w:ascii="Calibri" w:hAnsi="Calibri"/>
        </w:rPr>
        <w:t>Annotating the calculations to show how the maths solves the problem</w:t>
      </w:r>
    </w:p>
    <w:p w:rsidR="00F35335" w:rsidRDefault="00F35335" w:rsidP="00F35335">
      <w:pPr>
        <w:numPr>
          <w:ilvl w:val="0"/>
          <w:numId w:val="6"/>
        </w:numPr>
        <w:rPr>
          <w:rFonts w:ascii="Calibri" w:hAnsi="Calibri"/>
        </w:rPr>
      </w:pPr>
      <w:r>
        <w:rPr>
          <w:rFonts w:ascii="Calibri" w:hAnsi="Calibri"/>
        </w:rPr>
        <w:t>Communicating the process to others</w:t>
      </w:r>
    </w:p>
    <w:p w:rsidR="00F35335" w:rsidRDefault="00F35335" w:rsidP="00F35335">
      <w:pPr>
        <w:rPr>
          <w:rFonts w:ascii="Calibri" w:hAnsi="Calibri"/>
        </w:rPr>
      </w:pPr>
    </w:p>
    <w:p w:rsidR="00F35335" w:rsidRDefault="00F35335" w:rsidP="00F35335">
      <w:pPr>
        <w:rPr>
          <w:rFonts w:ascii="Calibri" w:hAnsi="Calibri"/>
        </w:rPr>
      </w:pPr>
      <w:r>
        <w:rPr>
          <w:rFonts w:ascii="Calibri" w:hAnsi="Calibri"/>
        </w:rPr>
        <w:t xml:space="preserve">To make sure you are practising the functionality of the learners’ maths skills, the numeracy skills required should be checked </w:t>
      </w:r>
      <w:r>
        <w:rPr>
          <w:rFonts w:ascii="Calibri" w:hAnsi="Calibri"/>
        </w:rPr>
        <w:t>beforehand</w:t>
      </w:r>
      <w:r>
        <w:rPr>
          <w:rFonts w:ascii="Calibri" w:hAnsi="Calibri"/>
        </w:rPr>
        <w:t xml:space="preserve"> to make sure a weakness here is not a barrier to tackling the problem, or be prepared to support the maths so the problem solving is the challenge.</w:t>
      </w:r>
    </w:p>
    <w:p w:rsidR="00F35335" w:rsidRDefault="00F35335" w:rsidP="00F35335">
      <w:pPr>
        <w:rPr>
          <w:rFonts w:ascii="Calibri" w:hAnsi="Calibri"/>
        </w:rPr>
      </w:pPr>
    </w:p>
    <w:p w:rsidR="00F35335" w:rsidRDefault="00F35335" w:rsidP="00F35335">
      <w:pPr>
        <w:rPr>
          <w:rFonts w:ascii="Calibri" w:hAnsi="Calibri"/>
          <w:b/>
        </w:rPr>
      </w:pPr>
      <w:r>
        <w:rPr>
          <w:rFonts w:ascii="Calibri" w:hAnsi="Calibri"/>
          <w:b/>
        </w:rPr>
        <w:t>Misconceptions and common errors:</w:t>
      </w:r>
    </w:p>
    <w:p w:rsidR="00F35335" w:rsidRDefault="00F35335" w:rsidP="00F35335">
      <w:pPr>
        <w:rPr>
          <w:rFonts w:ascii="Calibri" w:hAnsi="Calibri"/>
          <w:b/>
        </w:rPr>
      </w:pPr>
    </w:p>
    <w:p w:rsidR="00F35335" w:rsidRDefault="00F35335" w:rsidP="00F35335">
      <w:pPr>
        <w:rPr>
          <w:rFonts w:ascii="Calibri" w:hAnsi="Calibri"/>
        </w:rPr>
      </w:pPr>
      <w:r>
        <w:rPr>
          <w:rFonts w:ascii="Calibri" w:hAnsi="Calibri"/>
        </w:rPr>
        <w:t>Weaker learners may not see the process of planning the task as necessary or useful.</w:t>
      </w:r>
    </w:p>
    <w:p w:rsidR="00F35335" w:rsidRDefault="00F35335" w:rsidP="00F35335">
      <w:pPr>
        <w:rPr>
          <w:rFonts w:ascii="Calibri" w:hAnsi="Calibri"/>
        </w:rPr>
      </w:pPr>
      <w:r>
        <w:rPr>
          <w:rFonts w:ascii="Calibri" w:hAnsi="Calibri"/>
        </w:rPr>
        <w:t>Visualisation of very large amounts – this will become clear when choosing the weight or column.</w:t>
      </w:r>
    </w:p>
    <w:p w:rsidR="00F35335" w:rsidRDefault="00F35335" w:rsidP="00F35335">
      <w:pPr>
        <w:rPr>
          <w:rFonts w:ascii="Calibri" w:hAnsi="Calibri"/>
        </w:rPr>
      </w:pPr>
      <w:r>
        <w:rPr>
          <w:rFonts w:ascii="Calibri" w:hAnsi="Calibri"/>
        </w:rPr>
        <w:t>Confusion between switching from units.</w:t>
      </w:r>
    </w:p>
    <w:p w:rsidR="00F35335" w:rsidRDefault="00F35335" w:rsidP="00F35335">
      <w:pPr>
        <w:rPr>
          <w:rFonts w:ascii="Calibri" w:hAnsi="Calibri"/>
        </w:rPr>
      </w:pPr>
      <w:r>
        <w:rPr>
          <w:rFonts w:ascii="Calibri" w:hAnsi="Calibri"/>
        </w:rPr>
        <w:t>Reading various measuring tools and scales accurately / correctly</w:t>
      </w:r>
    </w:p>
    <w:p w:rsidR="00F35335" w:rsidRDefault="00F35335" w:rsidP="00F35335">
      <w:pPr>
        <w:rPr>
          <w:rFonts w:ascii="Calibri" w:hAnsi="Calibri"/>
        </w:rPr>
      </w:pPr>
    </w:p>
    <w:p w:rsidR="00F35335" w:rsidRDefault="00F35335" w:rsidP="00F35335">
      <w:pPr>
        <w:rPr>
          <w:rFonts w:ascii="Calibri" w:hAnsi="Calibri"/>
          <w:szCs w:val="22"/>
        </w:rPr>
      </w:pPr>
      <w:r>
        <w:rPr>
          <w:rFonts w:ascii="Calibri" w:hAnsi="Calibri"/>
          <w:bCs/>
          <w:szCs w:val="22"/>
        </w:rPr>
        <w:t>Barry Gear</w:t>
      </w:r>
    </w:p>
    <w:p w:rsidR="00F35335" w:rsidRPr="005C29CF" w:rsidRDefault="00F35335">
      <w:pPr>
        <w:rPr>
          <w:b/>
          <w:sz w:val="32"/>
          <w:szCs w:val="32"/>
        </w:rPr>
      </w:pPr>
    </w:p>
    <w:p w:rsidR="005C29CF" w:rsidRDefault="005C29CF"/>
    <w:p w:rsidR="00F35335" w:rsidRPr="00F35335" w:rsidRDefault="00F35335">
      <w:pPr>
        <w:rPr>
          <w:b/>
          <w:sz w:val="28"/>
          <w:szCs w:val="28"/>
        </w:rPr>
      </w:pPr>
      <w:r w:rsidRPr="00F35335">
        <w:rPr>
          <w:b/>
          <w:sz w:val="28"/>
          <w:szCs w:val="28"/>
        </w:rPr>
        <w:lastRenderedPageBreak/>
        <w:t>Lesson Plan</w:t>
      </w:r>
    </w:p>
    <w:p w:rsidR="00F35335" w:rsidRDefault="00F35335"/>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831"/>
        <w:gridCol w:w="8468"/>
      </w:tblGrid>
      <w:tr w:rsidR="00D251B0">
        <w:tc>
          <w:tcPr>
            <w:tcW w:w="889" w:type="pct"/>
          </w:tcPr>
          <w:p w:rsidR="00D251B0" w:rsidRDefault="00D251B0">
            <w:pPr>
              <w:pStyle w:val="TableText"/>
              <w:rPr>
                <w:b/>
              </w:rPr>
            </w:pPr>
            <w:r>
              <w:rPr>
                <w:b/>
              </w:rPr>
              <w:t>Time</w:t>
            </w:r>
          </w:p>
        </w:tc>
        <w:tc>
          <w:tcPr>
            <w:tcW w:w="4111" w:type="pct"/>
          </w:tcPr>
          <w:p w:rsidR="00D251B0" w:rsidRDefault="00D251B0">
            <w:pPr>
              <w:pStyle w:val="TableText"/>
              <w:rPr>
                <w:b/>
              </w:rPr>
            </w:pPr>
            <w:r>
              <w:rPr>
                <w:b/>
              </w:rPr>
              <w:t>Content</w:t>
            </w:r>
          </w:p>
        </w:tc>
      </w:tr>
      <w:tr w:rsidR="00D251B0">
        <w:tc>
          <w:tcPr>
            <w:tcW w:w="889" w:type="pct"/>
          </w:tcPr>
          <w:p w:rsidR="00D251B0" w:rsidRDefault="00D251B0">
            <w:pPr>
              <w:pStyle w:val="TableText"/>
            </w:pPr>
            <w:r>
              <w:t xml:space="preserve">5 - 10 minutes </w:t>
            </w:r>
          </w:p>
        </w:tc>
        <w:tc>
          <w:tcPr>
            <w:tcW w:w="4111" w:type="pct"/>
          </w:tcPr>
          <w:p w:rsidR="00D251B0" w:rsidRDefault="007C10C1" w:rsidP="005C29CF">
            <w:pPr>
              <w:pStyle w:val="TableText"/>
              <w:numPr>
                <w:ilvl w:val="0"/>
                <w:numId w:val="2"/>
              </w:numPr>
            </w:pPr>
            <w:r w:rsidRPr="00F35335">
              <w:rPr>
                <w:b/>
              </w:rPr>
              <w:t>Review understanding of measurement</w:t>
            </w:r>
            <w:r>
              <w:t xml:space="preserve"> – confirm learners are comfortable using a range of measuring tools such as rulers, tapes and tape measures</w:t>
            </w:r>
            <w:r w:rsidR="00AF05C1">
              <w:t xml:space="preserve"> and scales</w:t>
            </w:r>
            <w:r>
              <w:t xml:space="preserve">. Also that they are able to convert </w:t>
            </w:r>
            <w:r w:rsidR="00AF05C1">
              <w:t xml:space="preserve">between </w:t>
            </w:r>
            <w:r>
              <w:t>units</w:t>
            </w:r>
            <w:r w:rsidR="00AF05C1">
              <w:t xml:space="preserve"> of length and weight – possibly imperial and metric</w:t>
            </w:r>
            <w:r>
              <w:t>.</w:t>
            </w:r>
          </w:p>
          <w:p w:rsidR="007C10C1" w:rsidRDefault="007C10C1" w:rsidP="005C29CF">
            <w:pPr>
              <w:pStyle w:val="TableText"/>
              <w:numPr>
                <w:ilvl w:val="0"/>
                <w:numId w:val="2"/>
              </w:numPr>
            </w:pPr>
            <w:r w:rsidRPr="00F35335">
              <w:rPr>
                <w:b/>
              </w:rPr>
              <w:t xml:space="preserve">Review understanding of area </w:t>
            </w:r>
            <w:r w:rsidR="00BE7D08" w:rsidRPr="00F35335">
              <w:rPr>
                <w:b/>
              </w:rPr>
              <w:t>and measurement</w:t>
            </w:r>
            <w:r>
              <w:t xml:space="preserve"> – including the importance of using </w:t>
            </w:r>
            <w:r w:rsidR="00BE7D08">
              <w:t>the correct</w:t>
            </w:r>
            <w:r>
              <w:t xml:space="preserve"> units</w:t>
            </w:r>
            <w:r w:rsidR="00BE7D08">
              <w:t xml:space="preserve"> and level of accuracy required for the task</w:t>
            </w:r>
            <w:r>
              <w:t>.</w:t>
            </w:r>
          </w:p>
        </w:tc>
      </w:tr>
      <w:tr w:rsidR="00D251B0">
        <w:tc>
          <w:tcPr>
            <w:tcW w:w="889" w:type="pct"/>
          </w:tcPr>
          <w:p w:rsidR="00D251B0" w:rsidRDefault="00387330">
            <w:pPr>
              <w:pStyle w:val="TableText"/>
            </w:pPr>
            <w:r>
              <w:t>15</w:t>
            </w:r>
            <w:r w:rsidR="00D251B0">
              <w:t xml:space="preserve"> minutes</w:t>
            </w:r>
          </w:p>
        </w:tc>
        <w:tc>
          <w:tcPr>
            <w:tcW w:w="4111" w:type="pct"/>
          </w:tcPr>
          <w:p w:rsidR="00AF05C1" w:rsidRDefault="00AF05C1" w:rsidP="00F35335">
            <w:pPr>
              <w:pStyle w:val="TableText"/>
              <w:numPr>
                <w:ilvl w:val="0"/>
                <w:numId w:val="8"/>
              </w:numPr>
            </w:pPr>
            <w:r w:rsidRPr="00F35335">
              <w:rPr>
                <w:b/>
              </w:rPr>
              <w:t>Introduce the task</w:t>
            </w:r>
            <w:r>
              <w:t xml:space="preserve"> – Would you rather hav</w:t>
            </w:r>
            <w:r w:rsidR="00A90133">
              <w:t>e a column of £</w:t>
            </w:r>
            <w:r w:rsidR="00F35335">
              <w:t>1</w:t>
            </w:r>
            <w:r>
              <w:t xml:space="preserve"> coins as tall as ‘whoever’ or the weight of them in 5p pieces?</w:t>
            </w:r>
          </w:p>
          <w:p w:rsidR="00AF05C1" w:rsidRPr="00AF05C1" w:rsidRDefault="00AF05C1" w:rsidP="00527BF1">
            <w:pPr>
              <w:pStyle w:val="TableText"/>
              <w:rPr>
                <w:i/>
              </w:rPr>
            </w:pPr>
            <w:r>
              <w:rPr>
                <w:i/>
              </w:rPr>
              <w:t>You could use yourself, another tutor, someone in the class, but obviously be aware of sensitivity – I have done this with learners in pairs using each other but it needs to be carefully thought out.</w:t>
            </w:r>
            <w:bookmarkStart w:id="0" w:name="_GoBack"/>
            <w:bookmarkEnd w:id="0"/>
          </w:p>
          <w:p w:rsidR="00AF05C1" w:rsidRDefault="00AF05C1" w:rsidP="00527BF1">
            <w:pPr>
              <w:pStyle w:val="TableText"/>
            </w:pPr>
            <w:r>
              <w:t xml:space="preserve">Collect some guesses and record them – </w:t>
            </w:r>
            <w:r w:rsidRPr="00AF05C1">
              <w:rPr>
                <w:i/>
              </w:rPr>
              <w:t xml:space="preserve">try to ask the questions, why? </w:t>
            </w:r>
            <w:proofErr w:type="gramStart"/>
            <w:r w:rsidRPr="00AF05C1">
              <w:rPr>
                <w:i/>
              </w:rPr>
              <w:t>how</w:t>
            </w:r>
            <w:proofErr w:type="gramEnd"/>
            <w:r w:rsidRPr="00AF05C1">
              <w:rPr>
                <w:i/>
              </w:rPr>
              <w:t xml:space="preserve">? To </w:t>
            </w:r>
            <w:r>
              <w:rPr>
                <w:i/>
              </w:rPr>
              <w:t>elicit</w:t>
            </w:r>
            <w:r w:rsidRPr="00AF05C1">
              <w:rPr>
                <w:i/>
              </w:rPr>
              <w:t xml:space="preserve"> some justification behind the suggestions</w:t>
            </w:r>
            <w:r>
              <w:t>.</w:t>
            </w:r>
          </w:p>
          <w:p w:rsidR="00AF05C1" w:rsidRDefault="00AF05C1" w:rsidP="00F35335">
            <w:pPr>
              <w:pStyle w:val="TableText"/>
              <w:numPr>
                <w:ilvl w:val="0"/>
                <w:numId w:val="8"/>
              </w:numPr>
            </w:pPr>
            <w:r w:rsidRPr="00F35335">
              <w:rPr>
                <w:b/>
              </w:rPr>
              <w:t xml:space="preserve">Ask: how could we find out which is the greater in value and what </w:t>
            </w:r>
            <w:r w:rsidR="00E55785" w:rsidRPr="00F35335">
              <w:rPr>
                <w:b/>
              </w:rPr>
              <w:t>information</w:t>
            </w:r>
            <w:r w:rsidR="00F35335">
              <w:rPr>
                <w:b/>
              </w:rPr>
              <w:t xml:space="preserve"> </w:t>
            </w:r>
            <w:r w:rsidRPr="00F35335">
              <w:rPr>
                <w:b/>
              </w:rPr>
              <w:t xml:space="preserve">we need? </w:t>
            </w:r>
            <w:r w:rsidRPr="00AF05C1">
              <w:rPr>
                <w:i/>
              </w:rPr>
              <w:t>– I usually get the learners into pairs or small groups here to work independently with support and encouragement as they develop their ideas</w:t>
            </w:r>
            <w:r w:rsidR="00E55785">
              <w:rPr>
                <w:i/>
              </w:rPr>
              <w:t xml:space="preserve"> and record them as part of their plan</w:t>
            </w:r>
            <w:r>
              <w:t>.</w:t>
            </w:r>
          </w:p>
          <w:p w:rsidR="00AF05C1" w:rsidRDefault="00E55785" w:rsidP="00F35335">
            <w:pPr>
              <w:pStyle w:val="TableText"/>
              <w:numPr>
                <w:ilvl w:val="0"/>
                <w:numId w:val="8"/>
              </w:numPr>
            </w:pPr>
            <w:r w:rsidRPr="00F35335">
              <w:rPr>
                <w:b/>
              </w:rPr>
              <w:t xml:space="preserve">Ask: How will we get this information? </w:t>
            </w:r>
            <w:r>
              <w:t>What equipment do we need?</w:t>
            </w:r>
          </w:p>
          <w:p w:rsidR="00E55785" w:rsidRDefault="00E55785" w:rsidP="00F35335">
            <w:pPr>
              <w:pStyle w:val="TableText"/>
              <w:numPr>
                <w:ilvl w:val="0"/>
                <w:numId w:val="8"/>
              </w:numPr>
            </w:pPr>
            <w:r w:rsidRPr="00F35335">
              <w:rPr>
                <w:b/>
              </w:rPr>
              <w:t>Ask the pairs/groups to write up a plan</w:t>
            </w:r>
            <w:r>
              <w:t xml:space="preserve"> with the calculations they need to do to reach a conclusion.</w:t>
            </w:r>
          </w:p>
          <w:p w:rsidR="007C10C1" w:rsidRDefault="007C10C1" w:rsidP="00E55785">
            <w:pPr>
              <w:pStyle w:val="TableText"/>
            </w:pPr>
          </w:p>
        </w:tc>
      </w:tr>
      <w:tr w:rsidR="00D251B0" w:rsidRPr="00AF05C1">
        <w:tc>
          <w:tcPr>
            <w:tcW w:w="889" w:type="pct"/>
          </w:tcPr>
          <w:p w:rsidR="00D251B0" w:rsidRPr="00E55785" w:rsidRDefault="00E55785">
            <w:pPr>
              <w:pStyle w:val="TableText"/>
            </w:pPr>
            <w:r>
              <w:t>20</w:t>
            </w:r>
            <w:r w:rsidR="00387330" w:rsidRPr="00E55785">
              <w:t xml:space="preserve"> </w:t>
            </w:r>
            <w:r w:rsidR="00D251B0" w:rsidRPr="00E55785">
              <w:t>minutes</w:t>
            </w:r>
          </w:p>
        </w:tc>
        <w:tc>
          <w:tcPr>
            <w:tcW w:w="4111" w:type="pct"/>
          </w:tcPr>
          <w:p w:rsidR="00A90133" w:rsidRDefault="00BE7D08" w:rsidP="00A90133">
            <w:pPr>
              <w:rPr>
                <w:b/>
                <w:color w:val="auto"/>
              </w:rPr>
            </w:pPr>
            <w:r w:rsidRPr="00F35335">
              <w:rPr>
                <w:b/>
                <w:color w:val="auto"/>
              </w:rPr>
              <w:t>In their groups, the learners can now start to follow their plan</w:t>
            </w:r>
            <w:r w:rsidRPr="00E55785">
              <w:rPr>
                <w:color w:val="auto"/>
              </w:rPr>
              <w:t xml:space="preserve">, </w:t>
            </w:r>
            <w:r w:rsidR="00E55785">
              <w:t>weighing the pers</w:t>
            </w:r>
            <w:r w:rsidR="00A90133">
              <w:t>on and the 5p and measuring a £</w:t>
            </w:r>
            <w:r w:rsidR="00E55785">
              <w:t xml:space="preserve"> coin and the height of the person.</w:t>
            </w:r>
            <w:r w:rsidR="00A90133" w:rsidRPr="00A90133">
              <w:rPr>
                <w:b/>
                <w:color w:val="auto"/>
              </w:rPr>
              <w:t xml:space="preserve"> </w:t>
            </w:r>
          </w:p>
          <w:p w:rsidR="00A90133" w:rsidRDefault="00A90133" w:rsidP="00A90133">
            <w:pPr>
              <w:rPr>
                <w:b/>
                <w:color w:val="auto"/>
              </w:rPr>
            </w:pPr>
          </w:p>
          <w:p w:rsidR="00A90133" w:rsidRPr="00A90133" w:rsidRDefault="00A90133" w:rsidP="00A90133">
            <w:pPr>
              <w:rPr>
                <w:b/>
                <w:i/>
              </w:rPr>
            </w:pPr>
            <w:r>
              <w:rPr>
                <w:b/>
                <w:i/>
              </w:rPr>
              <w:t>I</w:t>
            </w:r>
            <w:r w:rsidRPr="00A90133">
              <w:rPr>
                <w:b/>
                <w:i/>
              </w:rPr>
              <w:t>t may be helpful to know that the thickness of a £1 coin is 3.15mm, and a 5p coin weighs 3.25g</w:t>
            </w:r>
          </w:p>
          <w:p w:rsidR="00A90133" w:rsidRDefault="00A90133" w:rsidP="00A90133"/>
          <w:p w:rsidR="00A90133" w:rsidRPr="00E55785" w:rsidRDefault="00E55785" w:rsidP="00A90133">
            <w:r>
              <w:t>Learners should follow their plan, adapting it if necessary, and do the required mathematics to find two amounts and compare.</w:t>
            </w:r>
          </w:p>
          <w:p w:rsidR="00BE7D08" w:rsidRPr="00AF05C1" w:rsidRDefault="00BE7D08" w:rsidP="00E55785">
            <w:pPr>
              <w:pStyle w:val="TableText"/>
              <w:rPr>
                <w:color w:val="FF0000"/>
              </w:rPr>
            </w:pPr>
          </w:p>
        </w:tc>
      </w:tr>
      <w:tr w:rsidR="00D251B0" w:rsidRPr="00AF05C1">
        <w:tc>
          <w:tcPr>
            <w:tcW w:w="889" w:type="pct"/>
            <w:tcBorders>
              <w:top w:val="single" w:sz="4" w:space="0" w:color="C0C0C0"/>
            </w:tcBorders>
          </w:tcPr>
          <w:p w:rsidR="00D251B0" w:rsidRPr="00E55785" w:rsidRDefault="00E55785">
            <w:pPr>
              <w:pStyle w:val="TableText"/>
            </w:pPr>
            <w:r w:rsidRPr="00E55785">
              <w:t>15</w:t>
            </w:r>
            <w:r w:rsidR="00D251B0" w:rsidRPr="00E55785">
              <w:t xml:space="preserve"> minutes</w:t>
            </w:r>
          </w:p>
        </w:tc>
        <w:tc>
          <w:tcPr>
            <w:tcW w:w="4111" w:type="pct"/>
            <w:tcBorders>
              <w:top w:val="single" w:sz="4" w:space="0" w:color="C0C0C0"/>
            </w:tcBorders>
          </w:tcPr>
          <w:p w:rsidR="00E55785" w:rsidRPr="00F35335" w:rsidRDefault="00E55785" w:rsidP="00E55785">
            <w:pPr>
              <w:pStyle w:val="TableText"/>
              <w:rPr>
                <w:b/>
              </w:rPr>
            </w:pPr>
            <w:r w:rsidRPr="00F35335">
              <w:rPr>
                <w:b/>
              </w:rPr>
              <w:t>Who was correct with their guess?</w:t>
            </w:r>
          </w:p>
          <w:p w:rsidR="00E55785" w:rsidRPr="00E55785" w:rsidRDefault="00387330" w:rsidP="005C29CF">
            <w:pPr>
              <w:pStyle w:val="TableText"/>
              <w:numPr>
                <w:ilvl w:val="0"/>
                <w:numId w:val="4"/>
              </w:numPr>
            </w:pPr>
            <w:r w:rsidRPr="00E55785">
              <w:t>Draw the class together and</w:t>
            </w:r>
            <w:r w:rsidR="00D251B0" w:rsidRPr="00E55785">
              <w:t xml:space="preserve"> compare </w:t>
            </w:r>
            <w:r w:rsidRPr="00E55785">
              <w:t>results and methods</w:t>
            </w:r>
            <w:r w:rsidR="00D251B0" w:rsidRPr="00E55785">
              <w:t xml:space="preserve">. </w:t>
            </w:r>
          </w:p>
          <w:p w:rsidR="00E55785" w:rsidRPr="00E55785" w:rsidRDefault="00E55785" w:rsidP="005C29CF">
            <w:pPr>
              <w:pStyle w:val="TableText"/>
              <w:numPr>
                <w:ilvl w:val="0"/>
                <w:numId w:val="4"/>
              </w:numPr>
            </w:pPr>
            <w:r w:rsidRPr="00E55785">
              <w:t>Ask them to display their results on the flipchart paper and discuss amongst the group</w:t>
            </w:r>
          </w:p>
          <w:p w:rsidR="00D251B0" w:rsidRPr="00E55785" w:rsidRDefault="00387330" w:rsidP="005C29CF">
            <w:pPr>
              <w:pStyle w:val="TableText"/>
              <w:numPr>
                <w:ilvl w:val="0"/>
                <w:numId w:val="4"/>
              </w:numPr>
            </w:pPr>
            <w:r w:rsidRPr="00E55785">
              <w:t>What assumptions have been made?</w:t>
            </w:r>
          </w:p>
          <w:p w:rsidR="00294C42" w:rsidRPr="00E55785" w:rsidRDefault="00294C42" w:rsidP="005C29CF">
            <w:pPr>
              <w:pStyle w:val="TableText"/>
              <w:numPr>
                <w:ilvl w:val="0"/>
                <w:numId w:val="4"/>
              </w:numPr>
            </w:pPr>
            <w:r w:rsidRPr="00E55785">
              <w:t>How would this be used in the ‘real world’ and what skills could be used in other tasks</w:t>
            </w:r>
          </w:p>
          <w:p w:rsidR="00D251B0" w:rsidRPr="00AF05C1" w:rsidRDefault="00D251B0">
            <w:pPr>
              <w:pStyle w:val="TableText"/>
              <w:rPr>
                <w:color w:val="FF0000"/>
              </w:rPr>
            </w:pPr>
          </w:p>
        </w:tc>
      </w:tr>
    </w:tbl>
    <w:p w:rsidR="00D251B0" w:rsidRPr="00AF05C1" w:rsidRDefault="00D251B0">
      <w:pPr>
        <w:pStyle w:val="Footernumber"/>
        <w:rPr>
          <w:bCs/>
          <w:color w:val="FF0000"/>
        </w:rPr>
      </w:pPr>
    </w:p>
    <w:p w:rsidR="00A90133" w:rsidRPr="00AF05C1" w:rsidRDefault="00A90133">
      <w:pPr>
        <w:pStyle w:val="Footernumber"/>
        <w:rPr>
          <w:bCs/>
          <w:color w:val="FF0000"/>
        </w:rPr>
      </w:pPr>
    </w:p>
    <w:p w:rsidR="0092350C" w:rsidRPr="00E55785" w:rsidRDefault="00294C42">
      <w:pPr>
        <w:pStyle w:val="Footernumber"/>
        <w:rPr>
          <w:bCs/>
        </w:rPr>
      </w:pPr>
      <w:r w:rsidRPr="00E55785">
        <w:rPr>
          <w:bCs/>
        </w:rPr>
        <w:t>These</w:t>
      </w:r>
      <w:r w:rsidR="00D251B0" w:rsidRPr="00E55785">
        <w:rPr>
          <w:bCs/>
        </w:rPr>
        <w:t xml:space="preserve"> extension</w:t>
      </w:r>
      <w:r w:rsidRPr="00E55785">
        <w:rPr>
          <w:bCs/>
        </w:rPr>
        <w:t>s</w:t>
      </w:r>
      <w:r w:rsidR="00D251B0" w:rsidRPr="00E55785">
        <w:rPr>
          <w:bCs/>
        </w:rPr>
        <w:t xml:space="preserve"> </w:t>
      </w:r>
      <w:r w:rsidRPr="00E55785">
        <w:rPr>
          <w:bCs/>
        </w:rPr>
        <w:t>are</w:t>
      </w:r>
      <w:r w:rsidR="00D251B0" w:rsidRPr="00E55785">
        <w:rPr>
          <w:bCs/>
        </w:rPr>
        <w:t xml:space="preserve"> optional. </w:t>
      </w:r>
    </w:p>
    <w:p w:rsidR="0092350C" w:rsidRPr="00E55785" w:rsidRDefault="00294C42">
      <w:pPr>
        <w:pStyle w:val="Footernumber"/>
        <w:rPr>
          <w:bCs/>
        </w:rPr>
      </w:pPr>
      <w:r w:rsidRPr="00E55785">
        <w:rPr>
          <w:bCs/>
        </w:rPr>
        <w:t>They</w:t>
      </w:r>
      <w:r w:rsidR="0092350C" w:rsidRPr="00E55785">
        <w:rPr>
          <w:bCs/>
        </w:rPr>
        <w:t xml:space="preserve"> could well be used as another session to follow on</w:t>
      </w:r>
      <w:r w:rsidRPr="00E55785">
        <w:rPr>
          <w:bCs/>
        </w:rPr>
        <w:t xml:space="preserve"> or at a later date</w: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831"/>
        <w:gridCol w:w="8468"/>
      </w:tblGrid>
      <w:tr w:rsidR="00D251B0" w:rsidRPr="00E55785">
        <w:tc>
          <w:tcPr>
            <w:tcW w:w="889" w:type="pct"/>
          </w:tcPr>
          <w:p w:rsidR="00D251B0" w:rsidRPr="00E55785" w:rsidRDefault="00D251B0">
            <w:pPr>
              <w:pStyle w:val="TableText"/>
              <w:rPr>
                <w:b/>
              </w:rPr>
            </w:pPr>
          </w:p>
        </w:tc>
        <w:tc>
          <w:tcPr>
            <w:tcW w:w="4111" w:type="pct"/>
          </w:tcPr>
          <w:p w:rsidR="00D251B0" w:rsidRPr="00E55785" w:rsidRDefault="00D251B0">
            <w:pPr>
              <w:pStyle w:val="TableText"/>
              <w:rPr>
                <w:b/>
              </w:rPr>
            </w:pPr>
            <w:r w:rsidRPr="00E55785">
              <w:rPr>
                <w:b/>
              </w:rPr>
              <w:t>Content</w:t>
            </w:r>
          </w:p>
        </w:tc>
      </w:tr>
      <w:tr w:rsidR="00D251B0" w:rsidRPr="00AF05C1">
        <w:tc>
          <w:tcPr>
            <w:tcW w:w="889" w:type="pct"/>
          </w:tcPr>
          <w:p w:rsidR="00D251B0" w:rsidRPr="00AF05C1" w:rsidRDefault="00D251B0">
            <w:pPr>
              <w:pStyle w:val="TableText"/>
              <w:rPr>
                <w:color w:val="FF0000"/>
              </w:rPr>
            </w:pPr>
          </w:p>
        </w:tc>
        <w:tc>
          <w:tcPr>
            <w:tcW w:w="4111" w:type="pct"/>
          </w:tcPr>
          <w:p w:rsidR="00387330" w:rsidRPr="00A90133" w:rsidRDefault="00E55785">
            <w:pPr>
              <w:pStyle w:val="TableText"/>
            </w:pPr>
            <w:r w:rsidRPr="00A90133">
              <w:t>Is there a height and weight where the amounts would be equal?</w:t>
            </w:r>
          </w:p>
          <w:p w:rsidR="00E55785" w:rsidRPr="00AF05C1" w:rsidRDefault="00E55785">
            <w:pPr>
              <w:pStyle w:val="TableText"/>
              <w:rPr>
                <w:color w:val="FF0000"/>
              </w:rPr>
            </w:pPr>
            <w:r w:rsidRPr="00A90133">
              <w:t>How could we find out?</w:t>
            </w:r>
          </w:p>
        </w:tc>
      </w:tr>
      <w:tr w:rsidR="00D251B0" w:rsidRPr="00AF05C1">
        <w:tc>
          <w:tcPr>
            <w:tcW w:w="889" w:type="pct"/>
          </w:tcPr>
          <w:p w:rsidR="00D251B0" w:rsidRPr="00AF05C1" w:rsidRDefault="00D251B0">
            <w:pPr>
              <w:pStyle w:val="TableText"/>
              <w:rPr>
                <w:color w:val="FF0000"/>
              </w:rPr>
            </w:pPr>
          </w:p>
        </w:tc>
        <w:tc>
          <w:tcPr>
            <w:tcW w:w="4111" w:type="pct"/>
          </w:tcPr>
          <w:p w:rsidR="00387330" w:rsidRPr="0071714F" w:rsidRDefault="00A90133">
            <w:pPr>
              <w:pStyle w:val="TableText"/>
            </w:pPr>
            <w:r w:rsidRPr="0071714F">
              <w:t>What do you think the result would be if we used £5 notes for both?</w:t>
            </w:r>
          </w:p>
          <w:p w:rsidR="00A90133" w:rsidRPr="00AF05C1" w:rsidRDefault="0071714F">
            <w:pPr>
              <w:pStyle w:val="TableText"/>
              <w:rPr>
                <w:color w:val="FF0000"/>
              </w:rPr>
            </w:pPr>
            <w:r>
              <w:t>T</w:t>
            </w:r>
            <w:r w:rsidR="00A90133" w:rsidRPr="0071714F">
              <w:t>his could be done as a planning exercise</w:t>
            </w:r>
            <w:r w:rsidRPr="0071714F">
              <w:t xml:space="preserve"> and searching for the weight and thickness of a £5 note on the internet reveals some interesting maths facts.</w:t>
            </w:r>
          </w:p>
        </w:tc>
      </w:tr>
    </w:tbl>
    <w:p w:rsidR="00D251B0" w:rsidRDefault="00D251B0"/>
    <w:sectPr w:rsidR="00D251B0">
      <w:headerReference w:type="default" r:id="rId7"/>
      <w:pgSz w:w="11907" w:h="16840" w:code="9"/>
      <w:pgMar w:top="794" w:right="794" w:bottom="794" w:left="794" w:header="454"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98" w:rsidRDefault="009A0D98">
      <w:r>
        <w:separator/>
      </w:r>
    </w:p>
  </w:endnote>
  <w:endnote w:type="continuationSeparator" w:id="0">
    <w:p w:rsidR="009A0D98" w:rsidRDefault="009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98" w:rsidRDefault="009A0D98">
      <w:r>
        <w:separator/>
      </w:r>
    </w:p>
  </w:footnote>
  <w:footnote w:type="continuationSeparator" w:id="0">
    <w:p w:rsidR="009A0D98" w:rsidRDefault="009A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B" w:rsidRDefault="00AF05C1">
    <w:pPr>
      <w:pStyle w:val="Header"/>
      <w:jc w:val="right"/>
      <w:rPr>
        <w:sz w:val="16"/>
      </w:rPr>
    </w:pPr>
    <w:r>
      <w:rPr>
        <w:sz w:val="16"/>
      </w:rPr>
      <w:t>Column of pounds</w:t>
    </w:r>
    <w:r w:rsidR="00CD411B">
      <w:rPr>
        <w:sz w:val="16"/>
      </w:rPr>
      <w:t>, a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4E0B"/>
    <w:multiLevelType w:val="hybridMultilevel"/>
    <w:tmpl w:val="8364F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00444B"/>
    <w:multiLevelType w:val="hybridMultilevel"/>
    <w:tmpl w:val="4282CAC6"/>
    <w:lvl w:ilvl="0" w:tplc="CC58EC5C">
      <w:start w:val="1"/>
      <w:numFmt w:val="bullet"/>
      <w:pStyle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45818"/>
    <w:multiLevelType w:val="hybridMultilevel"/>
    <w:tmpl w:val="9B64D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121117"/>
    <w:multiLevelType w:val="hybridMultilevel"/>
    <w:tmpl w:val="8BF84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9CD019A"/>
    <w:multiLevelType w:val="hybridMultilevel"/>
    <w:tmpl w:val="01D6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4E4FE4"/>
    <w:multiLevelType w:val="hybridMultilevel"/>
    <w:tmpl w:val="919C7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932BF1"/>
    <w:multiLevelType w:val="hybridMultilevel"/>
    <w:tmpl w:val="D4F68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C1"/>
    <w:rsid w:val="000D3FE9"/>
    <w:rsid w:val="00294C42"/>
    <w:rsid w:val="002E0DA4"/>
    <w:rsid w:val="00387330"/>
    <w:rsid w:val="00394CD3"/>
    <w:rsid w:val="00527BF1"/>
    <w:rsid w:val="005C29CF"/>
    <w:rsid w:val="006F3924"/>
    <w:rsid w:val="0071714F"/>
    <w:rsid w:val="007C10C1"/>
    <w:rsid w:val="0092350C"/>
    <w:rsid w:val="009A0D98"/>
    <w:rsid w:val="00A2534C"/>
    <w:rsid w:val="00A90133"/>
    <w:rsid w:val="00AF05C1"/>
    <w:rsid w:val="00BE7D08"/>
    <w:rsid w:val="00CB6DCD"/>
    <w:rsid w:val="00CD411B"/>
    <w:rsid w:val="00D251B0"/>
    <w:rsid w:val="00D57B92"/>
    <w:rsid w:val="00E55785"/>
    <w:rsid w:val="00E96BF0"/>
    <w:rsid w:val="00F3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90AB09-A188-4ABF-8F99-44C3FA7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pPr>
      <w:spacing w:before="40" w:after="40" w:line="260" w:lineRule="atLeast"/>
    </w:pPr>
    <w:rPr>
      <w:rFonts w:cs="Times New Roman"/>
      <w:color w:val="auto"/>
      <w:szCs w:val="22"/>
      <w:lang w:eastAsia="en-GB"/>
    </w:rPr>
  </w:style>
  <w:style w:type="character" w:styleId="Hyperlink">
    <w:name w:val="Hyperlink"/>
    <w:rPr>
      <w:color w:val="0000FF"/>
      <w:u w:val="single"/>
    </w:rPr>
  </w:style>
  <w:style w:type="paragraph" w:customStyle="1" w:styleId="Bullet">
    <w:name w:val="Bullet"/>
    <w:basedOn w:val="Normal"/>
    <w:pPr>
      <w:numPr>
        <w:numId w:val="1"/>
      </w:numPr>
      <w:spacing w:before="160" w:after="160" w:line="260" w:lineRule="atLeast"/>
    </w:pPr>
    <w:rPr>
      <w:rFonts w:cs="Times New Roman"/>
      <w:color w:val="auto"/>
      <w:szCs w:val="22"/>
      <w:lang w:eastAsia="en-GB"/>
    </w:rPr>
  </w:style>
  <w:style w:type="paragraph" w:customStyle="1" w:styleId="Footernumber">
    <w:name w:val="Footer_number"/>
    <w:basedOn w:val="Normal"/>
    <w:rPr>
      <w:rFonts w:cs="Times New Roman"/>
      <w:b/>
      <w:color w:val="auto"/>
      <w:szCs w:val="22"/>
      <w:lang w:eastAsia="en-GB"/>
    </w:rPr>
  </w:style>
  <w:style w:type="paragraph" w:styleId="BodyText">
    <w:name w:val="Body Text"/>
    <w:basedOn w:val="Normal"/>
    <w:rPr>
      <w:szCs w:val="16"/>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Time</vt:lpstr>
    </vt:vector>
  </TitlesOfParts>
  <Company>Home</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subject/>
  <dc:creator>Geoff</dc:creator>
  <cp:keywords/>
  <cp:lastModifiedBy>Europe Singh</cp:lastModifiedBy>
  <cp:revision>3</cp:revision>
  <cp:lastPrinted>2010-03-09T13:17:00Z</cp:lastPrinted>
  <dcterms:created xsi:type="dcterms:W3CDTF">2014-05-14T10:31:00Z</dcterms:created>
  <dcterms:modified xsi:type="dcterms:W3CDTF">2014-05-21T15:11:00Z</dcterms:modified>
</cp:coreProperties>
</file>